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688987" w14:textId="1BA17D23" w:rsidR="00094329" w:rsidRPr="00094329" w:rsidRDefault="001F1B85" w:rsidP="00094329">
      <w:pPr>
        <w:spacing w:before="120" w:after="120" w:line="360" w:lineRule="auto"/>
        <w:rPr>
          <w:rFonts w:ascii="Times New Roman" w:hAnsi="Times New Roman" w:cs="Times New Roman"/>
          <w:b/>
          <w:sz w:val="20"/>
          <w:szCs w:val="20"/>
        </w:rPr>
      </w:pPr>
      <w:r>
        <w:rPr>
          <w:rFonts w:ascii="Times New Roman" w:hAnsi="Times New Roman" w:cs="Times New Roman"/>
          <w:b/>
          <w:sz w:val="20"/>
          <w:szCs w:val="20"/>
        </w:rPr>
        <w:t xml:space="preserve">Dr </w:t>
      </w:r>
      <w:r w:rsidR="00094329" w:rsidRPr="00094329">
        <w:rPr>
          <w:rFonts w:ascii="Times New Roman" w:hAnsi="Times New Roman" w:cs="Times New Roman"/>
          <w:b/>
          <w:sz w:val="20"/>
          <w:szCs w:val="20"/>
        </w:rPr>
        <w:t>Mirosław Drygas</w:t>
      </w:r>
      <w:r w:rsidR="00F039DD">
        <w:rPr>
          <w:rFonts w:ascii="Times New Roman" w:hAnsi="Times New Roman" w:cs="Times New Roman"/>
          <w:b/>
          <w:sz w:val="20"/>
          <w:szCs w:val="20"/>
        </w:rPr>
        <w:t xml:space="preserve">, </w:t>
      </w:r>
      <w:r>
        <w:rPr>
          <w:rFonts w:ascii="Times New Roman" w:hAnsi="Times New Roman" w:cs="Times New Roman"/>
          <w:b/>
          <w:sz w:val="20"/>
          <w:szCs w:val="20"/>
        </w:rPr>
        <w:t xml:space="preserve">Dr </w:t>
      </w:r>
      <w:r w:rsidR="00094329" w:rsidRPr="00094329">
        <w:rPr>
          <w:rFonts w:ascii="Times New Roman" w:hAnsi="Times New Roman" w:cs="Times New Roman"/>
          <w:b/>
          <w:sz w:val="20"/>
          <w:szCs w:val="20"/>
        </w:rPr>
        <w:t>Iwona Nurzyńska</w:t>
      </w:r>
      <w:bookmarkStart w:id="0" w:name="_GoBack"/>
      <w:bookmarkEnd w:id="0"/>
      <w:r w:rsidR="00094329">
        <w:rPr>
          <w:rFonts w:ascii="Times New Roman" w:hAnsi="Times New Roman" w:cs="Times New Roman"/>
          <w:b/>
          <w:sz w:val="20"/>
          <w:szCs w:val="20"/>
        </w:rPr>
        <w:t>, Instytut Rozwoju Wsi i Rolnictwa PAN</w:t>
      </w:r>
    </w:p>
    <w:p w14:paraId="763431D4" w14:textId="77777777" w:rsidR="00094329" w:rsidRDefault="00094329" w:rsidP="002122DA">
      <w:pPr>
        <w:spacing w:before="120" w:after="120" w:line="360" w:lineRule="auto"/>
        <w:jc w:val="center"/>
        <w:rPr>
          <w:rFonts w:ascii="Arial" w:hAnsi="Arial" w:cs="Arial"/>
          <w:b/>
          <w:sz w:val="24"/>
          <w:szCs w:val="24"/>
        </w:rPr>
      </w:pPr>
    </w:p>
    <w:p w14:paraId="294AF3F6" w14:textId="197E04AB" w:rsidR="001A167E" w:rsidRDefault="001A167E" w:rsidP="002122DA">
      <w:pPr>
        <w:spacing w:before="120" w:after="120" w:line="360" w:lineRule="auto"/>
        <w:jc w:val="center"/>
        <w:rPr>
          <w:rFonts w:ascii="Arial" w:hAnsi="Arial" w:cs="Arial"/>
          <w:b/>
          <w:sz w:val="24"/>
          <w:szCs w:val="24"/>
        </w:rPr>
      </w:pPr>
      <w:r w:rsidRPr="00094329">
        <w:rPr>
          <w:rFonts w:ascii="Arial" w:hAnsi="Arial" w:cs="Arial"/>
          <w:b/>
          <w:sz w:val="24"/>
          <w:szCs w:val="24"/>
        </w:rPr>
        <w:t>Uwarunkowania dyskusji nad kształtem W</w:t>
      </w:r>
      <w:r w:rsidR="002122DA" w:rsidRPr="00094329">
        <w:rPr>
          <w:rFonts w:ascii="Arial" w:hAnsi="Arial" w:cs="Arial"/>
          <w:b/>
          <w:sz w:val="24"/>
          <w:szCs w:val="24"/>
        </w:rPr>
        <w:t xml:space="preserve">spólnej </w:t>
      </w:r>
      <w:r w:rsidRPr="00094329">
        <w:rPr>
          <w:rFonts w:ascii="Arial" w:hAnsi="Arial" w:cs="Arial"/>
          <w:b/>
          <w:sz w:val="24"/>
          <w:szCs w:val="24"/>
        </w:rPr>
        <w:t>P</w:t>
      </w:r>
      <w:r w:rsidR="002122DA" w:rsidRPr="00094329">
        <w:rPr>
          <w:rFonts w:ascii="Arial" w:hAnsi="Arial" w:cs="Arial"/>
          <w:b/>
          <w:sz w:val="24"/>
          <w:szCs w:val="24"/>
        </w:rPr>
        <w:t xml:space="preserve">olityki </w:t>
      </w:r>
      <w:r w:rsidRPr="00094329">
        <w:rPr>
          <w:rFonts w:ascii="Arial" w:hAnsi="Arial" w:cs="Arial"/>
          <w:b/>
          <w:sz w:val="24"/>
          <w:szCs w:val="24"/>
        </w:rPr>
        <w:t>R</w:t>
      </w:r>
      <w:r w:rsidR="002122DA" w:rsidRPr="00094329">
        <w:rPr>
          <w:rFonts w:ascii="Arial" w:hAnsi="Arial" w:cs="Arial"/>
          <w:b/>
          <w:sz w:val="24"/>
          <w:szCs w:val="24"/>
        </w:rPr>
        <w:t xml:space="preserve">olnej  po 2020 roku </w:t>
      </w:r>
    </w:p>
    <w:p w14:paraId="7B5BF38E" w14:textId="4A6F8D80" w:rsidR="002122DA" w:rsidRPr="00094329" w:rsidRDefault="008849F1" w:rsidP="008849F1">
      <w:pPr>
        <w:spacing w:before="120" w:after="120" w:line="360" w:lineRule="auto"/>
        <w:jc w:val="both"/>
        <w:rPr>
          <w:rFonts w:ascii="Arial" w:hAnsi="Arial" w:cs="Arial"/>
          <w:b/>
          <w:color w:val="000000"/>
        </w:rPr>
      </w:pPr>
      <w:r w:rsidRPr="00094329">
        <w:rPr>
          <w:rFonts w:ascii="Arial" w:hAnsi="Arial" w:cs="Arial"/>
          <w:b/>
          <w:color w:val="000000"/>
        </w:rPr>
        <w:t>Wprowadzenie</w:t>
      </w:r>
    </w:p>
    <w:p w14:paraId="2D211646" w14:textId="649D2566" w:rsidR="001A167E" w:rsidRPr="009524E5" w:rsidRDefault="006825C3" w:rsidP="00674FD8">
      <w:pPr>
        <w:spacing w:before="120" w:after="120" w:line="240" w:lineRule="auto"/>
        <w:ind w:firstLine="360"/>
        <w:jc w:val="both"/>
        <w:rPr>
          <w:rFonts w:ascii="Times New Roman" w:hAnsi="Times New Roman" w:cs="Times New Roman"/>
          <w:color w:val="000000"/>
          <w:sz w:val="20"/>
          <w:szCs w:val="20"/>
        </w:rPr>
      </w:pPr>
      <w:r w:rsidRPr="009524E5">
        <w:rPr>
          <w:rFonts w:ascii="Times New Roman" w:hAnsi="Times New Roman" w:cs="Times New Roman"/>
          <w:color w:val="000000"/>
          <w:sz w:val="20"/>
          <w:szCs w:val="20"/>
        </w:rPr>
        <w:t>W 2017 roku mija 60 lat od przyjęcia Traktatu Rzymskiego ustanawiającego Europejską Wspólnotę Gospodarczą (EWG)</w:t>
      </w:r>
      <w:r w:rsidRPr="009524E5">
        <w:rPr>
          <w:rStyle w:val="FootnoteReference"/>
          <w:rFonts w:ascii="Times New Roman" w:hAnsi="Times New Roman" w:cs="Times New Roman"/>
          <w:color w:val="000000"/>
          <w:sz w:val="20"/>
          <w:szCs w:val="20"/>
        </w:rPr>
        <w:footnoteReference w:id="1"/>
      </w:r>
      <w:r w:rsidRPr="009524E5">
        <w:rPr>
          <w:rFonts w:ascii="Times New Roman" w:hAnsi="Times New Roman" w:cs="Times New Roman"/>
          <w:color w:val="000000"/>
          <w:sz w:val="20"/>
          <w:szCs w:val="20"/>
        </w:rPr>
        <w:t>.</w:t>
      </w:r>
      <w:r w:rsidR="00BF6E68" w:rsidRPr="009524E5">
        <w:rPr>
          <w:rFonts w:ascii="Times New Roman" w:hAnsi="Times New Roman" w:cs="Times New Roman"/>
          <w:color w:val="000000"/>
          <w:sz w:val="20"/>
          <w:szCs w:val="20"/>
        </w:rPr>
        <w:t xml:space="preserve"> </w:t>
      </w:r>
      <w:r w:rsidR="001A167E" w:rsidRPr="009524E5">
        <w:rPr>
          <w:rFonts w:ascii="Times New Roman" w:hAnsi="Times New Roman" w:cs="Times New Roman"/>
          <w:color w:val="000000"/>
          <w:sz w:val="20"/>
          <w:szCs w:val="20"/>
        </w:rPr>
        <w:t>W artykule 39 Traktatu</w:t>
      </w:r>
      <w:r w:rsidR="00DE1E80" w:rsidRPr="009524E5">
        <w:rPr>
          <w:rFonts w:ascii="Times New Roman" w:hAnsi="Times New Roman" w:cs="Times New Roman"/>
          <w:color w:val="000000"/>
          <w:sz w:val="20"/>
          <w:szCs w:val="20"/>
        </w:rPr>
        <w:t xml:space="preserve"> </w:t>
      </w:r>
      <w:r w:rsidR="008849F1" w:rsidRPr="009524E5">
        <w:rPr>
          <w:rFonts w:ascii="Times New Roman" w:hAnsi="Times New Roman" w:cs="Times New Roman"/>
          <w:color w:val="000000"/>
          <w:sz w:val="20"/>
          <w:szCs w:val="20"/>
        </w:rPr>
        <w:t xml:space="preserve">kraje założycielskie </w:t>
      </w:r>
      <w:r w:rsidR="001A167E" w:rsidRPr="009524E5">
        <w:rPr>
          <w:rFonts w:ascii="Times New Roman" w:hAnsi="Times New Roman" w:cs="Times New Roman"/>
          <w:color w:val="000000"/>
          <w:sz w:val="20"/>
          <w:szCs w:val="20"/>
        </w:rPr>
        <w:t>zdefiniowa</w:t>
      </w:r>
      <w:r w:rsidR="008849F1" w:rsidRPr="009524E5">
        <w:rPr>
          <w:rFonts w:ascii="Times New Roman" w:hAnsi="Times New Roman" w:cs="Times New Roman"/>
          <w:color w:val="000000"/>
          <w:sz w:val="20"/>
          <w:szCs w:val="20"/>
        </w:rPr>
        <w:t xml:space="preserve">ły </w:t>
      </w:r>
      <w:r w:rsidR="001A167E" w:rsidRPr="009524E5">
        <w:rPr>
          <w:rFonts w:ascii="Times New Roman" w:hAnsi="Times New Roman" w:cs="Times New Roman"/>
          <w:color w:val="000000"/>
          <w:sz w:val="20"/>
          <w:szCs w:val="20"/>
        </w:rPr>
        <w:t>następujące cele polityki rolnej:</w:t>
      </w:r>
      <w:r w:rsidR="00F50C7F">
        <w:rPr>
          <w:rFonts w:ascii="Times New Roman" w:hAnsi="Times New Roman" w:cs="Times New Roman"/>
          <w:color w:val="000000"/>
          <w:sz w:val="20"/>
          <w:szCs w:val="20"/>
        </w:rPr>
        <w:t xml:space="preserve"> </w:t>
      </w:r>
      <w:r w:rsidR="00674FD8">
        <w:rPr>
          <w:rFonts w:ascii="Times New Roman" w:hAnsi="Times New Roman" w:cs="Times New Roman"/>
          <w:color w:val="000000"/>
          <w:sz w:val="20"/>
          <w:szCs w:val="20"/>
        </w:rPr>
        <w:t>p</w:t>
      </w:r>
      <w:r w:rsidR="001A167E" w:rsidRPr="009524E5">
        <w:rPr>
          <w:rFonts w:ascii="Times New Roman" w:hAnsi="Times New Roman" w:cs="Times New Roman"/>
          <w:color w:val="000000"/>
          <w:sz w:val="20"/>
          <w:szCs w:val="20"/>
        </w:rPr>
        <w:t>odnoszenie produktywności rolnictwa poprzez wspieranie postępu technicznego, biologicznego, organizacyjnego i ekonomicznego, racjonalizacj</w:t>
      </w:r>
      <w:r w:rsidRPr="009524E5">
        <w:rPr>
          <w:rFonts w:ascii="Times New Roman" w:hAnsi="Times New Roman" w:cs="Times New Roman"/>
          <w:color w:val="000000"/>
          <w:sz w:val="20"/>
          <w:szCs w:val="20"/>
        </w:rPr>
        <w:t>ę</w:t>
      </w:r>
      <w:r w:rsidR="001A167E" w:rsidRPr="009524E5">
        <w:rPr>
          <w:rFonts w:ascii="Times New Roman" w:hAnsi="Times New Roman" w:cs="Times New Roman"/>
          <w:color w:val="000000"/>
          <w:sz w:val="20"/>
          <w:szCs w:val="20"/>
        </w:rPr>
        <w:t xml:space="preserve"> produkcji rolnej oraz optymalizację z</w:t>
      </w:r>
      <w:r w:rsidR="00674FD8">
        <w:rPr>
          <w:rFonts w:ascii="Times New Roman" w:hAnsi="Times New Roman" w:cs="Times New Roman"/>
          <w:color w:val="000000"/>
          <w:sz w:val="20"/>
          <w:szCs w:val="20"/>
        </w:rPr>
        <w:t>astosowania czynników produkcji; z</w:t>
      </w:r>
      <w:r w:rsidR="001A167E" w:rsidRPr="009524E5">
        <w:rPr>
          <w:rFonts w:ascii="Times New Roman" w:hAnsi="Times New Roman" w:cs="Times New Roman"/>
          <w:color w:val="000000"/>
          <w:sz w:val="20"/>
          <w:szCs w:val="20"/>
        </w:rPr>
        <w:t>apewnienie odpowiedni</w:t>
      </w:r>
      <w:r w:rsidR="00674FD8">
        <w:rPr>
          <w:rFonts w:ascii="Times New Roman" w:hAnsi="Times New Roman" w:cs="Times New Roman"/>
          <w:color w:val="000000"/>
          <w:sz w:val="20"/>
          <w:szCs w:val="20"/>
        </w:rPr>
        <w:t>ego poziomu dochodów rolniczych; s</w:t>
      </w:r>
      <w:r w:rsidR="001A167E" w:rsidRPr="009524E5">
        <w:rPr>
          <w:rFonts w:ascii="Times New Roman" w:hAnsi="Times New Roman" w:cs="Times New Roman"/>
          <w:color w:val="000000"/>
          <w:sz w:val="20"/>
          <w:szCs w:val="20"/>
        </w:rPr>
        <w:t>tabi</w:t>
      </w:r>
      <w:r w:rsidR="00674FD8">
        <w:rPr>
          <w:rFonts w:ascii="Times New Roman" w:hAnsi="Times New Roman" w:cs="Times New Roman"/>
          <w:color w:val="000000"/>
          <w:sz w:val="20"/>
          <w:szCs w:val="20"/>
        </w:rPr>
        <w:t>lizację rynku produktów rolnych; z</w:t>
      </w:r>
      <w:r w:rsidR="001A167E" w:rsidRPr="00674FD8">
        <w:rPr>
          <w:rFonts w:ascii="Times New Roman" w:hAnsi="Times New Roman" w:cs="Times New Roman"/>
          <w:color w:val="000000"/>
          <w:sz w:val="20"/>
          <w:szCs w:val="20"/>
        </w:rPr>
        <w:t>ap</w:t>
      </w:r>
      <w:r w:rsidR="00674FD8">
        <w:rPr>
          <w:rFonts w:ascii="Times New Roman" w:hAnsi="Times New Roman" w:cs="Times New Roman"/>
          <w:color w:val="000000"/>
          <w:sz w:val="20"/>
          <w:szCs w:val="20"/>
        </w:rPr>
        <w:t>ewnienie ciągłości zaopatrzenia; u</w:t>
      </w:r>
      <w:r w:rsidR="001A167E" w:rsidRPr="00674FD8">
        <w:rPr>
          <w:rFonts w:ascii="Times New Roman" w:hAnsi="Times New Roman" w:cs="Times New Roman"/>
          <w:color w:val="000000"/>
          <w:sz w:val="20"/>
          <w:szCs w:val="20"/>
        </w:rPr>
        <w:t>możliwienie konsumentom zakupu żywności po rozsądnych cenach.</w:t>
      </w:r>
      <w:r w:rsidR="00674FD8">
        <w:rPr>
          <w:rFonts w:ascii="Times New Roman" w:hAnsi="Times New Roman" w:cs="Times New Roman"/>
          <w:color w:val="000000"/>
          <w:sz w:val="20"/>
          <w:szCs w:val="20"/>
        </w:rPr>
        <w:t xml:space="preserve"> </w:t>
      </w:r>
      <w:r w:rsidR="001A167E" w:rsidRPr="009524E5">
        <w:rPr>
          <w:rFonts w:ascii="Times New Roman" w:hAnsi="Times New Roman" w:cs="Times New Roman"/>
          <w:color w:val="000000"/>
          <w:sz w:val="20"/>
          <w:szCs w:val="20"/>
        </w:rPr>
        <w:t xml:space="preserve">Ponadto </w:t>
      </w:r>
      <w:r w:rsidR="00DE1E80" w:rsidRPr="009524E5">
        <w:rPr>
          <w:rFonts w:ascii="Times New Roman" w:hAnsi="Times New Roman" w:cs="Times New Roman"/>
          <w:color w:val="000000"/>
          <w:sz w:val="20"/>
          <w:szCs w:val="20"/>
        </w:rPr>
        <w:t xml:space="preserve">w </w:t>
      </w:r>
      <w:r w:rsidR="001A167E" w:rsidRPr="009524E5">
        <w:rPr>
          <w:rFonts w:ascii="Times New Roman" w:hAnsi="Times New Roman" w:cs="Times New Roman"/>
          <w:color w:val="000000"/>
          <w:sz w:val="20"/>
          <w:szCs w:val="20"/>
        </w:rPr>
        <w:t>Trakta</w:t>
      </w:r>
      <w:r w:rsidR="00DE1E80" w:rsidRPr="009524E5">
        <w:rPr>
          <w:rFonts w:ascii="Times New Roman" w:hAnsi="Times New Roman" w:cs="Times New Roman"/>
          <w:color w:val="000000"/>
          <w:sz w:val="20"/>
          <w:szCs w:val="20"/>
        </w:rPr>
        <w:t xml:space="preserve">cie zawarto </w:t>
      </w:r>
      <w:r w:rsidR="001A167E" w:rsidRPr="009524E5">
        <w:rPr>
          <w:rFonts w:ascii="Times New Roman" w:hAnsi="Times New Roman" w:cs="Times New Roman"/>
          <w:color w:val="000000"/>
          <w:sz w:val="20"/>
          <w:szCs w:val="20"/>
        </w:rPr>
        <w:t>zapowi</w:t>
      </w:r>
      <w:r w:rsidR="00DE1E80" w:rsidRPr="009524E5">
        <w:rPr>
          <w:rFonts w:ascii="Times New Roman" w:hAnsi="Times New Roman" w:cs="Times New Roman"/>
          <w:color w:val="000000"/>
          <w:sz w:val="20"/>
          <w:szCs w:val="20"/>
        </w:rPr>
        <w:t>edzi</w:t>
      </w:r>
      <w:r w:rsidR="001A167E" w:rsidRPr="009524E5">
        <w:rPr>
          <w:rFonts w:ascii="Times New Roman" w:hAnsi="Times New Roman" w:cs="Times New Roman"/>
          <w:color w:val="000000"/>
          <w:sz w:val="20"/>
          <w:szCs w:val="20"/>
        </w:rPr>
        <w:t>:</w:t>
      </w:r>
      <w:r w:rsidR="00F50C7F">
        <w:rPr>
          <w:rFonts w:ascii="Times New Roman" w:hAnsi="Times New Roman" w:cs="Times New Roman"/>
          <w:color w:val="000000"/>
          <w:sz w:val="20"/>
          <w:szCs w:val="20"/>
        </w:rPr>
        <w:t xml:space="preserve"> u</w:t>
      </w:r>
      <w:r w:rsidR="001A167E" w:rsidRPr="009524E5">
        <w:rPr>
          <w:rFonts w:ascii="Times New Roman" w:hAnsi="Times New Roman" w:cs="Times New Roman"/>
          <w:color w:val="000000"/>
          <w:sz w:val="20"/>
          <w:szCs w:val="20"/>
        </w:rPr>
        <w:t>tworzeni</w:t>
      </w:r>
      <w:r w:rsidR="00DE1E80" w:rsidRPr="009524E5">
        <w:rPr>
          <w:rFonts w:ascii="Times New Roman" w:hAnsi="Times New Roman" w:cs="Times New Roman"/>
          <w:color w:val="000000"/>
          <w:sz w:val="20"/>
          <w:szCs w:val="20"/>
        </w:rPr>
        <w:t>a</w:t>
      </w:r>
      <w:r w:rsidR="001A167E" w:rsidRPr="009524E5">
        <w:rPr>
          <w:rFonts w:ascii="Times New Roman" w:hAnsi="Times New Roman" w:cs="Times New Roman"/>
          <w:color w:val="000000"/>
          <w:sz w:val="20"/>
          <w:szCs w:val="20"/>
        </w:rPr>
        <w:t xml:space="preserve"> wspólnej organ</w:t>
      </w:r>
      <w:r w:rsidR="00F50C7F">
        <w:rPr>
          <w:rFonts w:ascii="Times New Roman" w:hAnsi="Times New Roman" w:cs="Times New Roman"/>
          <w:color w:val="000000"/>
          <w:sz w:val="20"/>
          <w:szCs w:val="20"/>
        </w:rPr>
        <w:t>izacji rynków produktów rolnych; w</w:t>
      </w:r>
      <w:r w:rsidR="001A167E" w:rsidRPr="009524E5">
        <w:rPr>
          <w:rFonts w:ascii="Times New Roman" w:hAnsi="Times New Roman" w:cs="Times New Roman"/>
          <w:color w:val="000000"/>
          <w:sz w:val="20"/>
          <w:szCs w:val="20"/>
        </w:rPr>
        <w:t>prowadzeni</w:t>
      </w:r>
      <w:r w:rsidR="00DE1E80" w:rsidRPr="009524E5">
        <w:rPr>
          <w:rFonts w:ascii="Times New Roman" w:hAnsi="Times New Roman" w:cs="Times New Roman"/>
          <w:color w:val="000000"/>
          <w:sz w:val="20"/>
          <w:szCs w:val="20"/>
        </w:rPr>
        <w:t>a</w:t>
      </w:r>
      <w:r w:rsidR="001A167E" w:rsidRPr="009524E5">
        <w:rPr>
          <w:rFonts w:ascii="Times New Roman" w:hAnsi="Times New Roman" w:cs="Times New Roman"/>
          <w:color w:val="000000"/>
          <w:sz w:val="20"/>
          <w:szCs w:val="20"/>
        </w:rPr>
        <w:t xml:space="preserve"> jednolitej polityki cenowej oraz uruchamiani</w:t>
      </w:r>
      <w:r w:rsidR="00DE1E80" w:rsidRPr="009524E5">
        <w:rPr>
          <w:rFonts w:ascii="Times New Roman" w:hAnsi="Times New Roman" w:cs="Times New Roman"/>
          <w:color w:val="000000"/>
          <w:sz w:val="20"/>
          <w:szCs w:val="20"/>
        </w:rPr>
        <w:t>a</w:t>
      </w:r>
      <w:r w:rsidR="001A167E" w:rsidRPr="009524E5">
        <w:rPr>
          <w:rFonts w:ascii="Times New Roman" w:hAnsi="Times New Roman" w:cs="Times New Roman"/>
          <w:color w:val="000000"/>
          <w:sz w:val="20"/>
          <w:szCs w:val="20"/>
        </w:rPr>
        <w:t xml:space="preserve"> interwencji na szczeblu Wspólnoty zgodnie z zasadą obligatoryjności jej stosowania we wszys</w:t>
      </w:r>
      <w:r w:rsidR="00F50C7F">
        <w:rPr>
          <w:rFonts w:ascii="Times New Roman" w:hAnsi="Times New Roman" w:cs="Times New Roman"/>
          <w:color w:val="000000"/>
          <w:sz w:val="20"/>
          <w:szCs w:val="20"/>
        </w:rPr>
        <w:t>tkich państwach członkowskich oraz u</w:t>
      </w:r>
      <w:r w:rsidR="001A167E" w:rsidRPr="009524E5">
        <w:rPr>
          <w:rFonts w:ascii="Times New Roman" w:hAnsi="Times New Roman" w:cs="Times New Roman"/>
          <w:color w:val="000000"/>
          <w:sz w:val="20"/>
          <w:szCs w:val="20"/>
        </w:rPr>
        <w:t>tworzeni</w:t>
      </w:r>
      <w:r w:rsidR="00DE1E80" w:rsidRPr="009524E5">
        <w:rPr>
          <w:rFonts w:ascii="Times New Roman" w:hAnsi="Times New Roman" w:cs="Times New Roman"/>
          <w:color w:val="000000"/>
          <w:sz w:val="20"/>
          <w:szCs w:val="20"/>
        </w:rPr>
        <w:t>a</w:t>
      </w:r>
      <w:r w:rsidR="001A167E" w:rsidRPr="009524E5">
        <w:rPr>
          <w:rFonts w:ascii="Times New Roman" w:hAnsi="Times New Roman" w:cs="Times New Roman"/>
          <w:color w:val="000000"/>
          <w:sz w:val="20"/>
          <w:szCs w:val="20"/>
        </w:rPr>
        <w:t xml:space="preserve"> wspólnych funduszy wspierania rolnictwa.</w:t>
      </w:r>
    </w:p>
    <w:p w14:paraId="2BEE3531" w14:textId="72EA638B" w:rsidR="001A167E" w:rsidRPr="009524E5" w:rsidRDefault="00674FD8" w:rsidP="009524E5">
      <w:pPr>
        <w:spacing w:before="120" w:after="120" w:line="240" w:lineRule="auto"/>
        <w:jc w:val="both"/>
        <w:rPr>
          <w:rFonts w:ascii="Times New Roman" w:hAnsi="Times New Roman" w:cs="Times New Roman"/>
          <w:i/>
          <w:color w:val="000000"/>
          <w:sz w:val="20"/>
          <w:szCs w:val="20"/>
        </w:rPr>
      </w:pPr>
      <w:r>
        <w:rPr>
          <w:rFonts w:ascii="Times New Roman" w:hAnsi="Times New Roman" w:cs="Times New Roman"/>
          <w:color w:val="000000"/>
          <w:sz w:val="20"/>
          <w:szCs w:val="20"/>
        </w:rPr>
        <w:t>O</w:t>
      </w:r>
      <w:r w:rsidR="00107D10" w:rsidRPr="009524E5">
        <w:rPr>
          <w:rFonts w:ascii="Times New Roman" w:hAnsi="Times New Roman" w:cs="Times New Roman"/>
          <w:color w:val="000000"/>
          <w:sz w:val="20"/>
          <w:szCs w:val="20"/>
        </w:rPr>
        <w:t>rgany</w:t>
      </w:r>
      <w:r w:rsidR="001A167E" w:rsidRPr="009524E5">
        <w:rPr>
          <w:rFonts w:ascii="Times New Roman" w:hAnsi="Times New Roman" w:cs="Times New Roman"/>
          <w:color w:val="000000"/>
          <w:sz w:val="20"/>
          <w:szCs w:val="20"/>
        </w:rPr>
        <w:t xml:space="preserve"> EWG </w:t>
      </w:r>
      <w:r>
        <w:rPr>
          <w:rFonts w:ascii="Times New Roman" w:hAnsi="Times New Roman" w:cs="Times New Roman"/>
          <w:color w:val="000000"/>
          <w:sz w:val="20"/>
          <w:szCs w:val="20"/>
        </w:rPr>
        <w:t xml:space="preserve">zostały zobowiązane </w:t>
      </w:r>
      <w:r w:rsidR="001A167E" w:rsidRPr="009524E5">
        <w:rPr>
          <w:rFonts w:ascii="Times New Roman" w:hAnsi="Times New Roman" w:cs="Times New Roman"/>
          <w:color w:val="000000"/>
          <w:sz w:val="20"/>
          <w:szCs w:val="20"/>
        </w:rPr>
        <w:t>do wypracowanie podstaw dla przyszłej WPR</w:t>
      </w:r>
      <w:r>
        <w:rPr>
          <w:rFonts w:ascii="Times New Roman" w:hAnsi="Times New Roman" w:cs="Times New Roman"/>
          <w:color w:val="000000"/>
          <w:sz w:val="20"/>
          <w:szCs w:val="20"/>
        </w:rPr>
        <w:t xml:space="preserve">, co </w:t>
      </w:r>
      <w:r w:rsidR="001A167E" w:rsidRPr="009524E5">
        <w:rPr>
          <w:rFonts w:ascii="Times New Roman" w:hAnsi="Times New Roman" w:cs="Times New Roman"/>
          <w:color w:val="000000"/>
          <w:sz w:val="20"/>
          <w:szCs w:val="20"/>
        </w:rPr>
        <w:t>zostało wykonane w lipcu 1958 r. w trakcie konferencji we włoskiej miejscowości Stressa. Przedyskutowane i uzgodnione rozwiązania uzna</w:t>
      </w:r>
      <w:r w:rsidR="00107D10" w:rsidRPr="009524E5">
        <w:rPr>
          <w:rFonts w:ascii="Times New Roman" w:hAnsi="Times New Roman" w:cs="Times New Roman"/>
          <w:color w:val="000000"/>
          <w:sz w:val="20"/>
          <w:szCs w:val="20"/>
        </w:rPr>
        <w:t>wa</w:t>
      </w:r>
      <w:r w:rsidR="001A167E" w:rsidRPr="009524E5">
        <w:rPr>
          <w:rFonts w:ascii="Times New Roman" w:hAnsi="Times New Roman" w:cs="Times New Roman"/>
          <w:color w:val="000000"/>
          <w:sz w:val="20"/>
          <w:szCs w:val="20"/>
        </w:rPr>
        <w:t>ne są powszechnie jako narodziny WPR, choć formalnie została</w:t>
      </w:r>
      <w:r w:rsidR="00BF4EF6" w:rsidRPr="009524E5">
        <w:rPr>
          <w:rFonts w:ascii="Times New Roman" w:hAnsi="Times New Roman" w:cs="Times New Roman"/>
          <w:color w:val="000000"/>
          <w:sz w:val="20"/>
          <w:szCs w:val="20"/>
        </w:rPr>
        <w:t xml:space="preserve"> ona</w:t>
      </w:r>
      <w:r w:rsidR="001A167E" w:rsidRPr="009524E5">
        <w:rPr>
          <w:rFonts w:ascii="Times New Roman" w:hAnsi="Times New Roman" w:cs="Times New Roman"/>
          <w:color w:val="000000"/>
          <w:sz w:val="20"/>
          <w:szCs w:val="20"/>
        </w:rPr>
        <w:t xml:space="preserve"> zainaugurowana w 1962 r.</w:t>
      </w:r>
      <w:r w:rsidR="00107D10" w:rsidRPr="009524E5">
        <w:rPr>
          <w:rFonts w:ascii="Times New Roman" w:hAnsi="Times New Roman" w:cs="Times New Roman"/>
          <w:color w:val="000000"/>
          <w:sz w:val="20"/>
          <w:szCs w:val="20"/>
        </w:rPr>
        <w:t xml:space="preserve"> </w:t>
      </w:r>
      <w:r w:rsidR="00DE1E80" w:rsidRPr="009524E5">
        <w:rPr>
          <w:rFonts w:ascii="Times New Roman" w:hAnsi="Times New Roman" w:cs="Times New Roman"/>
          <w:color w:val="000000"/>
          <w:sz w:val="20"/>
          <w:szCs w:val="20"/>
        </w:rPr>
        <w:t>uruchomieniem</w:t>
      </w:r>
      <w:r w:rsidR="00BF4EF6" w:rsidRPr="009524E5">
        <w:rPr>
          <w:rFonts w:ascii="Times New Roman" w:hAnsi="Times New Roman" w:cs="Times New Roman"/>
          <w:color w:val="000000"/>
          <w:sz w:val="20"/>
          <w:szCs w:val="20"/>
        </w:rPr>
        <w:t xml:space="preserve"> </w:t>
      </w:r>
      <w:r w:rsidR="001A167E" w:rsidRPr="009524E5">
        <w:rPr>
          <w:rFonts w:ascii="Times New Roman" w:hAnsi="Times New Roman" w:cs="Times New Roman"/>
          <w:color w:val="000000"/>
          <w:sz w:val="20"/>
          <w:szCs w:val="20"/>
        </w:rPr>
        <w:t>wspólnej organizacji rynków rolnych.</w:t>
      </w:r>
      <w:r w:rsidR="00BF4EF6" w:rsidRPr="009524E5">
        <w:rPr>
          <w:rFonts w:ascii="Times New Roman" w:hAnsi="Times New Roman" w:cs="Times New Roman"/>
          <w:i/>
          <w:color w:val="000000"/>
          <w:sz w:val="20"/>
          <w:szCs w:val="20"/>
        </w:rPr>
        <w:t xml:space="preserve"> </w:t>
      </w:r>
      <w:r w:rsidR="001A167E" w:rsidRPr="009524E5">
        <w:rPr>
          <w:rFonts w:ascii="Times New Roman" w:hAnsi="Times New Roman" w:cs="Times New Roman"/>
          <w:color w:val="000000"/>
          <w:sz w:val="20"/>
          <w:szCs w:val="20"/>
        </w:rPr>
        <w:t xml:space="preserve">Od tego czasu WPR opiera się na trzech podstawowych zasadach: </w:t>
      </w:r>
    </w:p>
    <w:p w14:paraId="6C7B75C9" w14:textId="77777777" w:rsidR="001A167E" w:rsidRPr="009524E5" w:rsidRDefault="001A167E" w:rsidP="009524E5">
      <w:pPr>
        <w:pStyle w:val="ListParagraph"/>
        <w:numPr>
          <w:ilvl w:val="0"/>
          <w:numId w:val="4"/>
        </w:numPr>
        <w:spacing w:before="120" w:after="120" w:line="240" w:lineRule="auto"/>
        <w:ind w:left="284" w:hanging="284"/>
        <w:jc w:val="both"/>
        <w:rPr>
          <w:rFonts w:ascii="Times New Roman" w:hAnsi="Times New Roman" w:cs="Times New Roman"/>
          <w:color w:val="000000"/>
          <w:sz w:val="20"/>
          <w:szCs w:val="20"/>
        </w:rPr>
      </w:pPr>
      <w:r w:rsidRPr="009524E5">
        <w:rPr>
          <w:rFonts w:ascii="Times New Roman" w:hAnsi="Times New Roman" w:cs="Times New Roman"/>
          <w:color w:val="000000"/>
          <w:sz w:val="20"/>
          <w:szCs w:val="20"/>
        </w:rPr>
        <w:t>Jednolitości rynku (utworzenie wspólnego rynku poszczególnych artykułów, np. mleka czy mięsa, na którym produkty rolne przepływają między państwami członkowskimi swobodnie i bez ograniczeń celnych i ilościowych).</w:t>
      </w:r>
    </w:p>
    <w:p w14:paraId="576289D1" w14:textId="6D6F6713" w:rsidR="001A167E" w:rsidRPr="009524E5" w:rsidRDefault="001A167E" w:rsidP="009524E5">
      <w:pPr>
        <w:pStyle w:val="ListParagraph"/>
        <w:numPr>
          <w:ilvl w:val="0"/>
          <w:numId w:val="4"/>
        </w:numPr>
        <w:spacing w:before="120" w:after="120" w:line="240" w:lineRule="auto"/>
        <w:ind w:left="284" w:hanging="284"/>
        <w:jc w:val="both"/>
        <w:rPr>
          <w:rFonts w:ascii="Times New Roman" w:hAnsi="Times New Roman" w:cs="Times New Roman"/>
          <w:color w:val="000000"/>
          <w:sz w:val="20"/>
          <w:szCs w:val="20"/>
        </w:rPr>
      </w:pPr>
      <w:r w:rsidRPr="009524E5">
        <w:rPr>
          <w:rFonts w:ascii="Times New Roman" w:hAnsi="Times New Roman" w:cs="Times New Roman"/>
          <w:color w:val="000000"/>
          <w:sz w:val="20"/>
          <w:szCs w:val="20"/>
        </w:rPr>
        <w:t>Preferencji Wspólnot (artykuły wytworzone na wspólnym rynku mają pierwszeństwo zbytu w krajach Unii).</w:t>
      </w:r>
    </w:p>
    <w:p w14:paraId="7A4E030B" w14:textId="4569426F" w:rsidR="001A167E" w:rsidRPr="009524E5" w:rsidRDefault="001A167E" w:rsidP="009524E5">
      <w:pPr>
        <w:pStyle w:val="ListParagraph"/>
        <w:numPr>
          <w:ilvl w:val="0"/>
          <w:numId w:val="4"/>
        </w:numPr>
        <w:spacing w:before="120" w:after="120" w:line="240" w:lineRule="auto"/>
        <w:ind w:left="284" w:hanging="284"/>
        <w:jc w:val="both"/>
        <w:rPr>
          <w:rFonts w:ascii="Times New Roman" w:hAnsi="Times New Roman" w:cs="Times New Roman"/>
          <w:color w:val="000000"/>
          <w:sz w:val="20"/>
          <w:szCs w:val="20"/>
        </w:rPr>
      </w:pPr>
      <w:r w:rsidRPr="009524E5">
        <w:rPr>
          <w:rFonts w:ascii="Times New Roman" w:hAnsi="Times New Roman" w:cs="Times New Roman"/>
          <w:color w:val="000000"/>
          <w:sz w:val="20"/>
          <w:szCs w:val="20"/>
        </w:rPr>
        <w:t xml:space="preserve">Solidarności finansowej (koszty funkcjonowania WPR ponoszą wszyscy członkowie </w:t>
      </w:r>
      <w:r w:rsidR="00BF4EF6" w:rsidRPr="009524E5">
        <w:rPr>
          <w:rFonts w:ascii="Times New Roman" w:hAnsi="Times New Roman" w:cs="Times New Roman"/>
          <w:color w:val="000000"/>
          <w:sz w:val="20"/>
          <w:szCs w:val="20"/>
        </w:rPr>
        <w:t>UE</w:t>
      </w:r>
      <w:r w:rsidRPr="009524E5">
        <w:rPr>
          <w:rFonts w:ascii="Times New Roman" w:hAnsi="Times New Roman" w:cs="Times New Roman"/>
          <w:color w:val="000000"/>
          <w:sz w:val="20"/>
          <w:szCs w:val="20"/>
        </w:rPr>
        <w:t>).</w:t>
      </w:r>
    </w:p>
    <w:p w14:paraId="1DD7C152" w14:textId="24F9B991" w:rsidR="001A167E" w:rsidRPr="009524E5" w:rsidRDefault="001A167E" w:rsidP="00674FD8">
      <w:pPr>
        <w:spacing w:before="120" w:after="120" w:line="240" w:lineRule="auto"/>
        <w:jc w:val="both"/>
        <w:rPr>
          <w:rFonts w:ascii="Times New Roman" w:hAnsi="Times New Roman" w:cs="Times New Roman"/>
          <w:color w:val="000000"/>
          <w:sz w:val="20"/>
          <w:szCs w:val="20"/>
        </w:rPr>
      </w:pPr>
      <w:r w:rsidRPr="009524E5">
        <w:rPr>
          <w:rFonts w:ascii="Times New Roman" w:hAnsi="Times New Roman" w:cs="Times New Roman"/>
          <w:color w:val="000000"/>
          <w:sz w:val="20"/>
          <w:szCs w:val="20"/>
        </w:rPr>
        <w:t>Pomim</w:t>
      </w:r>
      <w:r w:rsidR="000946B1" w:rsidRPr="009524E5">
        <w:rPr>
          <w:rFonts w:ascii="Times New Roman" w:hAnsi="Times New Roman" w:cs="Times New Roman"/>
          <w:color w:val="000000"/>
          <w:sz w:val="20"/>
          <w:szCs w:val="20"/>
        </w:rPr>
        <w:t xml:space="preserve">o wielokrotnych reform </w:t>
      </w:r>
      <w:r w:rsidRPr="009524E5">
        <w:rPr>
          <w:rFonts w:ascii="Times New Roman" w:hAnsi="Times New Roman" w:cs="Times New Roman"/>
          <w:color w:val="000000"/>
          <w:sz w:val="20"/>
          <w:szCs w:val="20"/>
        </w:rPr>
        <w:t xml:space="preserve">cele WPR przez 60 lat pozostały niezmienne. Warto zauważyć, że niektóre </w:t>
      </w:r>
      <w:r w:rsidR="00DE1E80" w:rsidRPr="009524E5">
        <w:rPr>
          <w:rFonts w:ascii="Times New Roman" w:hAnsi="Times New Roman" w:cs="Times New Roman"/>
          <w:color w:val="000000"/>
          <w:sz w:val="20"/>
          <w:szCs w:val="20"/>
        </w:rPr>
        <w:t xml:space="preserve">z nich </w:t>
      </w:r>
      <w:r w:rsidRPr="009524E5">
        <w:rPr>
          <w:rFonts w:ascii="Times New Roman" w:hAnsi="Times New Roman" w:cs="Times New Roman"/>
          <w:color w:val="000000"/>
          <w:sz w:val="20"/>
          <w:szCs w:val="20"/>
        </w:rPr>
        <w:t xml:space="preserve">były w pewnym stopniu trudne do pogodzenia, a nawet sprzeczne. Z jednej strony wskazywały na konieczność efektywnego wykorzystywania czynników produkcji, z drugiej zaś podkreślały potrzebę zapewnienia rolnikom odpowiedniego dochodu. W praktyce oznaczało to, że historycznie rzecz biorąc WPR miała także wymiar socjalny, zapewniając rolnikom wsparcie nie zawsze spełniające kryteria </w:t>
      </w:r>
      <w:r w:rsidRPr="009524E5">
        <w:rPr>
          <w:rFonts w:ascii="Times New Roman" w:hAnsi="Times New Roman" w:cs="Times New Roman"/>
          <w:color w:val="000000"/>
          <w:sz w:val="20"/>
          <w:szCs w:val="20"/>
        </w:rPr>
        <w:lastRenderedPageBreak/>
        <w:t>efektywności ekonomicznej. Dotyczy to także wsp</w:t>
      </w:r>
      <w:r w:rsidR="00DE1E80" w:rsidRPr="009524E5">
        <w:rPr>
          <w:rFonts w:ascii="Times New Roman" w:hAnsi="Times New Roman" w:cs="Times New Roman"/>
          <w:color w:val="000000"/>
          <w:sz w:val="20"/>
          <w:szCs w:val="20"/>
        </w:rPr>
        <w:t xml:space="preserve">ierania </w:t>
      </w:r>
      <w:r w:rsidRPr="009524E5">
        <w:rPr>
          <w:rFonts w:ascii="Times New Roman" w:hAnsi="Times New Roman" w:cs="Times New Roman"/>
          <w:color w:val="000000"/>
          <w:sz w:val="20"/>
          <w:szCs w:val="20"/>
        </w:rPr>
        <w:t xml:space="preserve">silnych ekonomicznie gospodarstw mogących sobie radzić na rynku bez </w:t>
      </w:r>
      <w:r w:rsidR="00DE1E80" w:rsidRPr="009524E5">
        <w:rPr>
          <w:rFonts w:ascii="Times New Roman" w:hAnsi="Times New Roman" w:cs="Times New Roman"/>
          <w:color w:val="000000"/>
          <w:sz w:val="20"/>
          <w:szCs w:val="20"/>
        </w:rPr>
        <w:t xml:space="preserve">pomocy </w:t>
      </w:r>
      <w:r w:rsidRPr="009524E5">
        <w:rPr>
          <w:rFonts w:ascii="Times New Roman" w:hAnsi="Times New Roman" w:cs="Times New Roman"/>
          <w:color w:val="000000"/>
          <w:sz w:val="20"/>
          <w:szCs w:val="20"/>
        </w:rPr>
        <w:t>publiczne</w:t>
      </w:r>
      <w:r w:rsidR="00DE1E80" w:rsidRPr="009524E5">
        <w:rPr>
          <w:rFonts w:ascii="Times New Roman" w:hAnsi="Times New Roman" w:cs="Times New Roman"/>
          <w:color w:val="000000"/>
          <w:sz w:val="20"/>
          <w:szCs w:val="20"/>
        </w:rPr>
        <w:t>j</w:t>
      </w:r>
      <w:r w:rsidRPr="009524E5">
        <w:rPr>
          <w:rFonts w:ascii="Times New Roman" w:hAnsi="Times New Roman" w:cs="Times New Roman"/>
          <w:color w:val="000000"/>
          <w:sz w:val="20"/>
          <w:szCs w:val="20"/>
        </w:rPr>
        <w:t xml:space="preserve">. </w:t>
      </w:r>
    </w:p>
    <w:p w14:paraId="7920383C" w14:textId="347C59D9" w:rsidR="001A167E" w:rsidRPr="009524E5" w:rsidRDefault="001A167E" w:rsidP="00674FD8">
      <w:pPr>
        <w:spacing w:before="120" w:after="120" w:line="240" w:lineRule="auto"/>
        <w:jc w:val="both"/>
        <w:rPr>
          <w:rFonts w:ascii="Times New Roman" w:hAnsi="Times New Roman" w:cs="Times New Roman"/>
          <w:color w:val="000000"/>
          <w:sz w:val="20"/>
          <w:szCs w:val="20"/>
        </w:rPr>
      </w:pPr>
      <w:r w:rsidRPr="009524E5">
        <w:rPr>
          <w:rFonts w:ascii="Times New Roman" w:hAnsi="Times New Roman" w:cs="Times New Roman"/>
          <w:color w:val="000000"/>
          <w:sz w:val="20"/>
          <w:szCs w:val="20"/>
        </w:rPr>
        <w:t xml:space="preserve">Takie sformułowanie celów w Traktacie powodowało, że od początku swego funkcjonowania WPR stała przed dylematem: </w:t>
      </w:r>
      <w:r w:rsidR="00DE1E80" w:rsidRPr="009524E5">
        <w:rPr>
          <w:rFonts w:ascii="Times New Roman" w:hAnsi="Times New Roman" w:cs="Times New Roman"/>
          <w:color w:val="000000"/>
          <w:sz w:val="20"/>
          <w:szCs w:val="20"/>
        </w:rPr>
        <w:t xml:space="preserve">czy realizowana polityka powinna być ukierunkowana na </w:t>
      </w:r>
      <w:r w:rsidRPr="009524E5">
        <w:rPr>
          <w:rFonts w:ascii="Times New Roman" w:hAnsi="Times New Roman" w:cs="Times New Roman"/>
          <w:color w:val="000000"/>
          <w:sz w:val="20"/>
          <w:szCs w:val="20"/>
        </w:rPr>
        <w:t xml:space="preserve">zapewnienie równości, czy </w:t>
      </w:r>
      <w:r w:rsidR="00DE1E80" w:rsidRPr="009524E5">
        <w:rPr>
          <w:rFonts w:ascii="Times New Roman" w:hAnsi="Times New Roman" w:cs="Times New Roman"/>
          <w:color w:val="000000"/>
          <w:sz w:val="20"/>
          <w:szCs w:val="20"/>
        </w:rPr>
        <w:t xml:space="preserve">też na </w:t>
      </w:r>
      <w:r w:rsidRPr="009524E5">
        <w:rPr>
          <w:rFonts w:ascii="Times New Roman" w:hAnsi="Times New Roman" w:cs="Times New Roman"/>
          <w:color w:val="000000"/>
          <w:sz w:val="20"/>
          <w:szCs w:val="20"/>
        </w:rPr>
        <w:t>zwiększenie efektywności ekonomicz</w:t>
      </w:r>
      <w:r w:rsidR="00DE1E80" w:rsidRPr="009524E5">
        <w:rPr>
          <w:rFonts w:ascii="Times New Roman" w:hAnsi="Times New Roman" w:cs="Times New Roman"/>
          <w:color w:val="000000"/>
          <w:sz w:val="20"/>
          <w:szCs w:val="20"/>
        </w:rPr>
        <w:t>n</w:t>
      </w:r>
      <w:r w:rsidRPr="009524E5">
        <w:rPr>
          <w:rFonts w:ascii="Times New Roman" w:hAnsi="Times New Roman" w:cs="Times New Roman"/>
          <w:color w:val="000000"/>
          <w:sz w:val="20"/>
          <w:szCs w:val="20"/>
        </w:rPr>
        <w:t>ej</w:t>
      </w:r>
      <w:r w:rsidR="00DE1E80" w:rsidRPr="009524E5">
        <w:rPr>
          <w:rFonts w:ascii="Times New Roman" w:hAnsi="Times New Roman" w:cs="Times New Roman"/>
          <w:color w:val="000000"/>
          <w:sz w:val="20"/>
          <w:szCs w:val="20"/>
        </w:rPr>
        <w:t>?</w:t>
      </w:r>
      <w:r w:rsidRPr="009524E5">
        <w:rPr>
          <w:rFonts w:ascii="Times New Roman" w:hAnsi="Times New Roman" w:cs="Times New Roman"/>
          <w:color w:val="000000"/>
          <w:sz w:val="20"/>
          <w:szCs w:val="20"/>
        </w:rPr>
        <w:t xml:space="preserve"> WPR starała się godzić te </w:t>
      </w:r>
      <w:r w:rsidR="00DE1E80" w:rsidRPr="009524E5">
        <w:rPr>
          <w:rFonts w:ascii="Times New Roman" w:hAnsi="Times New Roman" w:cs="Times New Roman"/>
          <w:color w:val="000000"/>
          <w:sz w:val="20"/>
          <w:szCs w:val="20"/>
        </w:rPr>
        <w:t xml:space="preserve">dwa </w:t>
      </w:r>
      <w:r w:rsidRPr="009524E5">
        <w:rPr>
          <w:rFonts w:ascii="Times New Roman" w:hAnsi="Times New Roman" w:cs="Times New Roman"/>
          <w:color w:val="000000"/>
          <w:sz w:val="20"/>
          <w:szCs w:val="20"/>
        </w:rPr>
        <w:t>cele, jednakże ostateczny wybór polityczny co do jej kształtu na kolejne okresy programowania był zawsze uzależniony od siły przetargowej organizacji rolniczych</w:t>
      </w:r>
      <w:r w:rsidRPr="009524E5">
        <w:rPr>
          <w:rStyle w:val="FootnoteReference"/>
          <w:rFonts w:ascii="Times New Roman" w:hAnsi="Times New Roman" w:cs="Times New Roman"/>
          <w:color w:val="000000"/>
          <w:sz w:val="20"/>
          <w:szCs w:val="20"/>
        </w:rPr>
        <w:footnoteReference w:id="2"/>
      </w:r>
      <w:r w:rsidRPr="009524E5">
        <w:rPr>
          <w:rFonts w:ascii="Times New Roman" w:hAnsi="Times New Roman" w:cs="Times New Roman"/>
          <w:color w:val="000000"/>
          <w:sz w:val="20"/>
          <w:szCs w:val="20"/>
        </w:rPr>
        <w:t>, a przede wszystkim koalicji</w:t>
      </w:r>
      <w:r w:rsidR="00FA0079" w:rsidRPr="009524E5">
        <w:rPr>
          <w:rFonts w:ascii="Times New Roman" w:hAnsi="Times New Roman" w:cs="Times New Roman"/>
          <w:color w:val="000000"/>
          <w:sz w:val="20"/>
          <w:szCs w:val="20"/>
        </w:rPr>
        <w:t xml:space="preserve"> tworzonych przez  </w:t>
      </w:r>
      <w:r w:rsidRPr="009524E5">
        <w:rPr>
          <w:rFonts w:ascii="Times New Roman" w:hAnsi="Times New Roman" w:cs="Times New Roman"/>
          <w:color w:val="000000"/>
          <w:sz w:val="20"/>
          <w:szCs w:val="20"/>
        </w:rPr>
        <w:t>państw</w:t>
      </w:r>
      <w:r w:rsidR="00FA0079" w:rsidRPr="009524E5">
        <w:rPr>
          <w:rFonts w:ascii="Times New Roman" w:hAnsi="Times New Roman" w:cs="Times New Roman"/>
          <w:color w:val="000000"/>
          <w:sz w:val="20"/>
          <w:szCs w:val="20"/>
        </w:rPr>
        <w:t>a</w:t>
      </w:r>
      <w:r w:rsidRPr="009524E5">
        <w:rPr>
          <w:rFonts w:ascii="Times New Roman" w:hAnsi="Times New Roman" w:cs="Times New Roman"/>
          <w:color w:val="000000"/>
          <w:sz w:val="20"/>
          <w:szCs w:val="20"/>
        </w:rPr>
        <w:t xml:space="preserve"> członkowskich. </w:t>
      </w:r>
    </w:p>
    <w:p w14:paraId="5BF179AE" w14:textId="2777C1BF" w:rsidR="000946B1" w:rsidRPr="009524E5" w:rsidRDefault="001A167E" w:rsidP="00674FD8">
      <w:pPr>
        <w:spacing w:before="120" w:after="120" w:line="240" w:lineRule="auto"/>
        <w:jc w:val="both"/>
        <w:rPr>
          <w:rFonts w:ascii="Times New Roman" w:hAnsi="Times New Roman" w:cs="Times New Roman"/>
          <w:color w:val="000000"/>
          <w:sz w:val="20"/>
          <w:szCs w:val="20"/>
        </w:rPr>
      </w:pPr>
      <w:r w:rsidRPr="009524E5">
        <w:rPr>
          <w:rFonts w:ascii="Times New Roman" w:hAnsi="Times New Roman" w:cs="Times New Roman"/>
          <w:color w:val="000000"/>
          <w:sz w:val="20"/>
          <w:szCs w:val="20"/>
        </w:rPr>
        <w:t>W kolejnych latach nasilała się krytyka słabego ukierunkowania WPR na konkretne cele, co w szczególności dotyczyło płatności bezpośrednich, wprowadzonych w ramach reformy Mac Sharry’ego</w:t>
      </w:r>
      <w:r w:rsidR="00EF1492" w:rsidRPr="009524E5">
        <w:rPr>
          <w:rStyle w:val="FootnoteReference"/>
          <w:rFonts w:ascii="Times New Roman" w:hAnsi="Times New Roman" w:cs="Times New Roman"/>
          <w:color w:val="000000"/>
          <w:sz w:val="20"/>
          <w:szCs w:val="20"/>
        </w:rPr>
        <w:footnoteReference w:id="3"/>
      </w:r>
      <w:r w:rsidR="00BF4EF6" w:rsidRPr="009524E5">
        <w:rPr>
          <w:rFonts w:ascii="Times New Roman" w:hAnsi="Times New Roman" w:cs="Times New Roman"/>
          <w:color w:val="000000"/>
          <w:sz w:val="20"/>
          <w:szCs w:val="20"/>
        </w:rPr>
        <w:t>.</w:t>
      </w:r>
      <w:r w:rsidR="000946B1" w:rsidRPr="009524E5">
        <w:rPr>
          <w:rFonts w:ascii="Times New Roman" w:hAnsi="Times New Roman" w:cs="Times New Roman"/>
          <w:color w:val="000000"/>
          <w:sz w:val="20"/>
          <w:szCs w:val="20"/>
        </w:rPr>
        <w:t xml:space="preserve"> W artykule spróbujemy się odnieść do głównych wątków tej krytyki, w tym w szczególności do następuj</w:t>
      </w:r>
      <w:r w:rsidR="00FA0079" w:rsidRPr="009524E5">
        <w:rPr>
          <w:rFonts w:ascii="Times New Roman" w:hAnsi="Times New Roman" w:cs="Times New Roman"/>
          <w:color w:val="000000"/>
          <w:sz w:val="20"/>
          <w:szCs w:val="20"/>
        </w:rPr>
        <w:t>ą</w:t>
      </w:r>
      <w:r w:rsidR="000946B1" w:rsidRPr="009524E5">
        <w:rPr>
          <w:rFonts w:ascii="Times New Roman" w:hAnsi="Times New Roman" w:cs="Times New Roman"/>
          <w:color w:val="000000"/>
          <w:sz w:val="20"/>
          <w:szCs w:val="20"/>
        </w:rPr>
        <w:t>cych kwestii:</w:t>
      </w:r>
    </w:p>
    <w:p w14:paraId="45A1EFC7" w14:textId="588BDBFC" w:rsidR="001A167E" w:rsidRPr="00674FD8" w:rsidRDefault="001A167E" w:rsidP="00674FD8">
      <w:pPr>
        <w:pStyle w:val="ListParagraph"/>
        <w:numPr>
          <w:ilvl w:val="0"/>
          <w:numId w:val="13"/>
        </w:numPr>
        <w:spacing w:before="120" w:after="120" w:line="240" w:lineRule="auto"/>
        <w:jc w:val="both"/>
        <w:rPr>
          <w:rFonts w:ascii="Times New Roman" w:hAnsi="Times New Roman" w:cs="Times New Roman"/>
          <w:color w:val="000000"/>
          <w:sz w:val="20"/>
          <w:szCs w:val="20"/>
        </w:rPr>
      </w:pPr>
      <w:r w:rsidRPr="00674FD8">
        <w:rPr>
          <w:rFonts w:ascii="Times New Roman" w:hAnsi="Times New Roman" w:cs="Times New Roman"/>
          <w:color w:val="000000"/>
          <w:sz w:val="20"/>
          <w:szCs w:val="20"/>
        </w:rPr>
        <w:t>aktualn</w:t>
      </w:r>
      <w:r w:rsidR="000946B1" w:rsidRPr="00674FD8">
        <w:rPr>
          <w:rFonts w:ascii="Times New Roman" w:hAnsi="Times New Roman" w:cs="Times New Roman"/>
          <w:color w:val="000000"/>
          <w:sz w:val="20"/>
          <w:szCs w:val="20"/>
        </w:rPr>
        <w:t>e</w:t>
      </w:r>
      <w:r w:rsidRPr="00674FD8">
        <w:rPr>
          <w:rFonts w:ascii="Times New Roman" w:hAnsi="Times New Roman" w:cs="Times New Roman"/>
          <w:color w:val="000000"/>
          <w:sz w:val="20"/>
          <w:szCs w:val="20"/>
        </w:rPr>
        <w:t xml:space="preserve"> uwarunkowania międzynarodow</w:t>
      </w:r>
      <w:r w:rsidR="000946B1" w:rsidRPr="00674FD8">
        <w:rPr>
          <w:rFonts w:ascii="Times New Roman" w:hAnsi="Times New Roman" w:cs="Times New Roman"/>
          <w:color w:val="000000"/>
          <w:sz w:val="20"/>
          <w:szCs w:val="20"/>
        </w:rPr>
        <w:t>e, w tym</w:t>
      </w:r>
      <w:r w:rsidRPr="00674FD8">
        <w:rPr>
          <w:rFonts w:ascii="Times New Roman" w:hAnsi="Times New Roman" w:cs="Times New Roman"/>
          <w:color w:val="000000"/>
          <w:sz w:val="20"/>
          <w:szCs w:val="20"/>
        </w:rPr>
        <w:t xml:space="preserve"> pogłębiająca się globalizacja stosunków gospodarczych i postępująca liberalizacja handlu rolno-spożywczego</w:t>
      </w:r>
      <w:r w:rsidR="000946B1" w:rsidRPr="00674FD8">
        <w:rPr>
          <w:rFonts w:ascii="Times New Roman" w:hAnsi="Times New Roman" w:cs="Times New Roman"/>
          <w:color w:val="000000"/>
          <w:sz w:val="20"/>
          <w:szCs w:val="20"/>
        </w:rPr>
        <w:t xml:space="preserve">, podważają </w:t>
      </w:r>
      <w:r w:rsidRPr="00674FD8">
        <w:rPr>
          <w:rFonts w:ascii="Times New Roman" w:hAnsi="Times New Roman" w:cs="Times New Roman"/>
          <w:color w:val="000000"/>
          <w:sz w:val="20"/>
          <w:szCs w:val="20"/>
        </w:rPr>
        <w:t>zasadn</w:t>
      </w:r>
      <w:r w:rsidR="000946B1" w:rsidRPr="00674FD8">
        <w:rPr>
          <w:rFonts w:ascii="Times New Roman" w:hAnsi="Times New Roman" w:cs="Times New Roman"/>
          <w:color w:val="000000"/>
          <w:sz w:val="20"/>
          <w:szCs w:val="20"/>
        </w:rPr>
        <w:t xml:space="preserve">ość kontynuowania </w:t>
      </w:r>
      <w:r w:rsidRPr="00674FD8">
        <w:rPr>
          <w:rFonts w:ascii="Times New Roman" w:hAnsi="Times New Roman" w:cs="Times New Roman"/>
          <w:color w:val="000000"/>
          <w:sz w:val="20"/>
          <w:szCs w:val="20"/>
        </w:rPr>
        <w:t xml:space="preserve">systemu wsparcia bezpośredniego, </w:t>
      </w:r>
      <w:r w:rsidR="000946B1" w:rsidRPr="00674FD8">
        <w:rPr>
          <w:rFonts w:ascii="Times New Roman" w:hAnsi="Times New Roman" w:cs="Times New Roman"/>
          <w:color w:val="000000"/>
          <w:sz w:val="20"/>
          <w:szCs w:val="20"/>
        </w:rPr>
        <w:t xml:space="preserve">w wymiarze w jakim </w:t>
      </w:r>
      <w:r w:rsidRPr="00674FD8">
        <w:rPr>
          <w:rFonts w:ascii="Times New Roman" w:hAnsi="Times New Roman" w:cs="Times New Roman"/>
          <w:color w:val="000000"/>
          <w:sz w:val="20"/>
          <w:szCs w:val="20"/>
        </w:rPr>
        <w:t xml:space="preserve">pełni </w:t>
      </w:r>
      <w:r w:rsidR="000946B1" w:rsidRPr="00674FD8">
        <w:rPr>
          <w:rFonts w:ascii="Times New Roman" w:hAnsi="Times New Roman" w:cs="Times New Roman"/>
          <w:color w:val="000000"/>
          <w:sz w:val="20"/>
          <w:szCs w:val="20"/>
        </w:rPr>
        <w:t xml:space="preserve">on </w:t>
      </w:r>
      <w:r w:rsidRPr="00674FD8">
        <w:rPr>
          <w:rFonts w:ascii="Times New Roman" w:hAnsi="Times New Roman" w:cs="Times New Roman"/>
          <w:color w:val="000000"/>
          <w:sz w:val="20"/>
          <w:szCs w:val="20"/>
        </w:rPr>
        <w:t>funkcj</w:t>
      </w:r>
      <w:r w:rsidR="000946B1" w:rsidRPr="00674FD8">
        <w:rPr>
          <w:rFonts w:ascii="Times New Roman" w:hAnsi="Times New Roman" w:cs="Times New Roman"/>
          <w:color w:val="000000"/>
          <w:sz w:val="20"/>
          <w:szCs w:val="20"/>
        </w:rPr>
        <w:t>e</w:t>
      </w:r>
      <w:r w:rsidRPr="00674FD8">
        <w:rPr>
          <w:rFonts w:ascii="Times New Roman" w:hAnsi="Times New Roman" w:cs="Times New Roman"/>
          <w:color w:val="000000"/>
          <w:sz w:val="20"/>
          <w:szCs w:val="20"/>
        </w:rPr>
        <w:t xml:space="preserve"> o charakterze wsparcia socjalnego dla części niew</w:t>
      </w:r>
      <w:r w:rsidR="000946B1" w:rsidRPr="00674FD8">
        <w:rPr>
          <w:rFonts w:ascii="Times New Roman" w:hAnsi="Times New Roman" w:cs="Times New Roman"/>
          <w:color w:val="000000"/>
          <w:sz w:val="20"/>
          <w:szCs w:val="20"/>
        </w:rPr>
        <w:t>ydolnych dochodowo gospodarstw;</w:t>
      </w:r>
    </w:p>
    <w:p w14:paraId="70787397" w14:textId="5313539E" w:rsidR="001A167E" w:rsidRPr="00674FD8" w:rsidRDefault="000946B1" w:rsidP="00674FD8">
      <w:pPr>
        <w:pStyle w:val="ListParagraph"/>
        <w:numPr>
          <w:ilvl w:val="0"/>
          <w:numId w:val="13"/>
        </w:numPr>
        <w:spacing w:before="120" w:after="120" w:line="240" w:lineRule="auto"/>
        <w:jc w:val="both"/>
        <w:rPr>
          <w:rFonts w:ascii="Times New Roman" w:hAnsi="Times New Roman" w:cs="Times New Roman"/>
          <w:color w:val="000000"/>
          <w:sz w:val="20"/>
          <w:szCs w:val="20"/>
        </w:rPr>
      </w:pPr>
      <w:r w:rsidRPr="00674FD8">
        <w:rPr>
          <w:rFonts w:ascii="Times New Roman" w:hAnsi="Times New Roman" w:cs="Times New Roman"/>
          <w:color w:val="000000"/>
          <w:sz w:val="20"/>
          <w:szCs w:val="20"/>
        </w:rPr>
        <w:t xml:space="preserve">WPR nie jest polityką adekwatną do wspierania małych </w:t>
      </w:r>
      <w:r w:rsidR="001A167E" w:rsidRPr="00674FD8">
        <w:rPr>
          <w:rFonts w:ascii="Times New Roman" w:hAnsi="Times New Roman" w:cs="Times New Roman"/>
          <w:color w:val="000000"/>
          <w:sz w:val="20"/>
          <w:szCs w:val="20"/>
        </w:rPr>
        <w:t>gospodarstw, nieprodukujących na rynek</w:t>
      </w:r>
      <w:r w:rsidR="00BF4EF6" w:rsidRPr="00674FD8">
        <w:rPr>
          <w:rFonts w:ascii="Times New Roman" w:hAnsi="Times New Roman" w:cs="Times New Roman"/>
          <w:color w:val="000000"/>
          <w:sz w:val="20"/>
          <w:szCs w:val="20"/>
        </w:rPr>
        <w:t>, dla których należy stworzyć alternatywne instrumenty pomocy</w:t>
      </w:r>
      <w:r w:rsidR="00FA0079" w:rsidRPr="00674FD8">
        <w:rPr>
          <w:rFonts w:ascii="Times New Roman" w:hAnsi="Times New Roman" w:cs="Times New Roman"/>
          <w:color w:val="000000"/>
          <w:sz w:val="20"/>
          <w:szCs w:val="20"/>
        </w:rPr>
        <w:t>.</w:t>
      </w:r>
    </w:p>
    <w:p w14:paraId="54755E0F" w14:textId="5488F91C" w:rsidR="00E624F8" w:rsidRPr="009524E5" w:rsidRDefault="00E624F8" w:rsidP="009524E5">
      <w:pPr>
        <w:spacing w:before="120" w:after="120" w:line="240" w:lineRule="auto"/>
        <w:jc w:val="both"/>
        <w:rPr>
          <w:rFonts w:ascii="Times New Roman" w:hAnsi="Times New Roman" w:cs="Times New Roman"/>
          <w:color w:val="000000"/>
          <w:sz w:val="20"/>
          <w:szCs w:val="20"/>
        </w:rPr>
      </w:pPr>
      <w:r w:rsidRPr="009524E5">
        <w:rPr>
          <w:rFonts w:ascii="Times New Roman" w:hAnsi="Times New Roman" w:cs="Times New Roman"/>
          <w:color w:val="000000"/>
          <w:sz w:val="20"/>
          <w:szCs w:val="20"/>
        </w:rPr>
        <w:t xml:space="preserve">W artykule wykorzystano materiały i ekspertyzy, w tym </w:t>
      </w:r>
      <w:r w:rsidR="00674FD8">
        <w:rPr>
          <w:rFonts w:ascii="Times New Roman" w:hAnsi="Times New Roman" w:cs="Times New Roman"/>
          <w:color w:val="000000"/>
          <w:sz w:val="20"/>
          <w:szCs w:val="20"/>
        </w:rPr>
        <w:t xml:space="preserve">wyniki badan </w:t>
      </w:r>
      <w:r w:rsidRPr="009524E5">
        <w:rPr>
          <w:rFonts w:ascii="Times New Roman" w:hAnsi="Times New Roman" w:cs="Times New Roman"/>
          <w:color w:val="000000"/>
          <w:sz w:val="20"/>
          <w:szCs w:val="20"/>
        </w:rPr>
        <w:t>badań własnych poświęconych ocenie wyników systemu wsparcia bezpośredniego w ramach 1 filara WPR realizowanego w Polsce</w:t>
      </w:r>
      <w:r w:rsidRPr="009524E5">
        <w:rPr>
          <w:rStyle w:val="FootnoteReference"/>
          <w:rFonts w:ascii="Times New Roman" w:hAnsi="Times New Roman" w:cs="Times New Roman"/>
          <w:color w:val="000000"/>
          <w:sz w:val="20"/>
          <w:szCs w:val="20"/>
        </w:rPr>
        <w:footnoteReference w:id="4"/>
      </w:r>
      <w:r w:rsidRPr="009524E5">
        <w:rPr>
          <w:rFonts w:ascii="Times New Roman" w:hAnsi="Times New Roman" w:cs="Times New Roman"/>
          <w:color w:val="000000"/>
          <w:sz w:val="20"/>
          <w:szCs w:val="20"/>
        </w:rPr>
        <w:t xml:space="preserve">.  </w:t>
      </w:r>
    </w:p>
    <w:p w14:paraId="05CF5634" w14:textId="5CE4640C" w:rsidR="002E3D5D" w:rsidRPr="002E3D5D" w:rsidRDefault="002E3D5D" w:rsidP="002E3D5D">
      <w:pPr>
        <w:pStyle w:val="ListParagraph"/>
        <w:numPr>
          <w:ilvl w:val="0"/>
          <w:numId w:val="9"/>
        </w:numPr>
        <w:spacing w:before="120" w:after="120" w:line="360" w:lineRule="auto"/>
        <w:jc w:val="both"/>
        <w:rPr>
          <w:rFonts w:ascii="Arial" w:hAnsi="Arial" w:cs="Arial"/>
          <w:b/>
          <w:sz w:val="24"/>
          <w:szCs w:val="24"/>
        </w:rPr>
      </w:pPr>
      <w:r w:rsidRPr="002E3D5D">
        <w:rPr>
          <w:rFonts w:ascii="Arial" w:hAnsi="Arial" w:cs="Arial"/>
          <w:b/>
          <w:sz w:val="24"/>
          <w:szCs w:val="24"/>
        </w:rPr>
        <w:t xml:space="preserve">Krytyka aktualnie realizowanej WPR </w:t>
      </w:r>
    </w:p>
    <w:p w14:paraId="513897D9" w14:textId="705F04F2" w:rsidR="0014523D" w:rsidRPr="009524E5" w:rsidRDefault="002E3D5D" w:rsidP="00674FD8">
      <w:pPr>
        <w:spacing w:before="120" w:after="120" w:line="240" w:lineRule="auto"/>
        <w:jc w:val="both"/>
        <w:rPr>
          <w:rFonts w:ascii="Times New Roman" w:hAnsi="Times New Roman" w:cs="Times New Roman"/>
          <w:color w:val="000000"/>
          <w:sz w:val="20"/>
          <w:szCs w:val="20"/>
        </w:rPr>
      </w:pPr>
      <w:r w:rsidRPr="009524E5">
        <w:rPr>
          <w:rFonts w:ascii="Times New Roman" w:hAnsi="Times New Roman" w:cs="Times New Roman"/>
          <w:color w:val="000000"/>
          <w:sz w:val="20"/>
          <w:szCs w:val="20"/>
        </w:rPr>
        <w:t>W</w:t>
      </w:r>
      <w:r w:rsidR="00A65BB2" w:rsidRPr="009524E5">
        <w:rPr>
          <w:rFonts w:ascii="Times New Roman" w:hAnsi="Times New Roman" w:cs="Times New Roman"/>
          <w:color w:val="000000"/>
          <w:sz w:val="20"/>
          <w:szCs w:val="20"/>
        </w:rPr>
        <w:t xml:space="preserve"> ciągu ostatnich lat </w:t>
      </w:r>
      <w:r w:rsidRPr="009524E5">
        <w:rPr>
          <w:rFonts w:ascii="Times New Roman" w:hAnsi="Times New Roman" w:cs="Times New Roman"/>
          <w:color w:val="000000"/>
          <w:sz w:val="20"/>
          <w:szCs w:val="20"/>
        </w:rPr>
        <w:t xml:space="preserve">krytyka </w:t>
      </w:r>
      <w:r w:rsidR="00DD7B95" w:rsidRPr="009524E5">
        <w:rPr>
          <w:rFonts w:ascii="Times New Roman" w:hAnsi="Times New Roman" w:cs="Times New Roman"/>
          <w:color w:val="000000"/>
          <w:sz w:val="20"/>
          <w:szCs w:val="20"/>
        </w:rPr>
        <w:t xml:space="preserve">WPR </w:t>
      </w:r>
      <w:r w:rsidRPr="009524E5">
        <w:rPr>
          <w:rFonts w:ascii="Times New Roman" w:hAnsi="Times New Roman" w:cs="Times New Roman"/>
          <w:color w:val="000000"/>
          <w:sz w:val="20"/>
          <w:szCs w:val="20"/>
        </w:rPr>
        <w:t>cechowała się podobn</w:t>
      </w:r>
      <w:r w:rsidR="0031203C" w:rsidRPr="009524E5">
        <w:rPr>
          <w:rFonts w:ascii="Times New Roman" w:hAnsi="Times New Roman" w:cs="Times New Roman"/>
          <w:color w:val="000000"/>
          <w:sz w:val="20"/>
          <w:szCs w:val="20"/>
        </w:rPr>
        <w:t>ą</w:t>
      </w:r>
      <w:r w:rsidRPr="009524E5">
        <w:rPr>
          <w:rFonts w:ascii="Times New Roman" w:hAnsi="Times New Roman" w:cs="Times New Roman"/>
          <w:color w:val="000000"/>
          <w:sz w:val="20"/>
          <w:szCs w:val="20"/>
        </w:rPr>
        <w:t xml:space="preserve"> argumentacją i ukierunkowaniem</w:t>
      </w:r>
      <w:r w:rsidR="00FA0079" w:rsidRPr="009524E5">
        <w:rPr>
          <w:rFonts w:ascii="Times New Roman" w:hAnsi="Times New Roman" w:cs="Times New Roman"/>
          <w:color w:val="000000"/>
          <w:sz w:val="20"/>
          <w:szCs w:val="20"/>
        </w:rPr>
        <w:t xml:space="preserve">, co wynikało ze zbliżonego charakteru </w:t>
      </w:r>
      <w:r w:rsidR="0031203C" w:rsidRPr="009524E5">
        <w:rPr>
          <w:rFonts w:ascii="Times New Roman" w:hAnsi="Times New Roman" w:cs="Times New Roman"/>
          <w:color w:val="000000"/>
          <w:sz w:val="20"/>
          <w:szCs w:val="20"/>
        </w:rPr>
        <w:t xml:space="preserve">uzasadnień </w:t>
      </w:r>
      <w:r w:rsidR="00FA0079" w:rsidRPr="009524E5">
        <w:rPr>
          <w:rFonts w:ascii="Times New Roman" w:hAnsi="Times New Roman" w:cs="Times New Roman"/>
          <w:color w:val="000000"/>
          <w:sz w:val="20"/>
          <w:szCs w:val="20"/>
        </w:rPr>
        <w:t>prezentowan</w:t>
      </w:r>
      <w:r w:rsidR="0031203C" w:rsidRPr="009524E5">
        <w:rPr>
          <w:rFonts w:ascii="Times New Roman" w:hAnsi="Times New Roman" w:cs="Times New Roman"/>
          <w:color w:val="000000"/>
          <w:sz w:val="20"/>
          <w:szCs w:val="20"/>
        </w:rPr>
        <w:t>ych</w:t>
      </w:r>
      <w:r w:rsidR="00FA0079" w:rsidRPr="009524E5">
        <w:rPr>
          <w:rFonts w:ascii="Times New Roman" w:hAnsi="Times New Roman" w:cs="Times New Roman"/>
          <w:color w:val="000000"/>
          <w:sz w:val="20"/>
          <w:szCs w:val="20"/>
        </w:rPr>
        <w:t xml:space="preserve"> przez Komisj</w:t>
      </w:r>
      <w:r w:rsidR="0031203C" w:rsidRPr="009524E5">
        <w:rPr>
          <w:rFonts w:ascii="Times New Roman" w:hAnsi="Times New Roman" w:cs="Times New Roman"/>
          <w:color w:val="000000"/>
          <w:sz w:val="20"/>
          <w:szCs w:val="20"/>
        </w:rPr>
        <w:t>ę</w:t>
      </w:r>
      <w:r w:rsidR="00FA0079" w:rsidRPr="009524E5">
        <w:rPr>
          <w:rFonts w:ascii="Times New Roman" w:hAnsi="Times New Roman" w:cs="Times New Roman"/>
          <w:color w:val="000000"/>
          <w:sz w:val="20"/>
          <w:szCs w:val="20"/>
        </w:rPr>
        <w:t xml:space="preserve"> Europejską </w:t>
      </w:r>
      <w:r w:rsidR="00674FD8">
        <w:rPr>
          <w:rFonts w:ascii="Times New Roman" w:hAnsi="Times New Roman" w:cs="Times New Roman"/>
          <w:color w:val="000000"/>
          <w:sz w:val="20"/>
          <w:szCs w:val="20"/>
        </w:rPr>
        <w:t xml:space="preserve">(KE) </w:t>
      </w:r>
      <w:r w:rsidR="00FA0079" w:rsidRPr="009524E5">
        <w:rPr>
          <w:rFonts w:ascii="Times New Roman" w:hAnsi="Times New Roman" w:cs="Times New Roman"/>
          <w:color w:val="000000"/>
          <w:sz w:val="20"/>
          <w:szCs w:val="20"/>
        </w:rPr>
        <w:t>w okresie prac nad kolejną reformą</w:t>
      </w:r>
      <w:r w:rsidRPr="009524E5">
        <w:rPr>
          <w:rFonts w:ascii="Times New Roman" w:hAnsi="Times New Roman" w:cs="Times New Roman"/>
          <w:color w:val="000000"/>
          <w:sz w:val="20"/>
          <w:szCs w:val="20"/>
        </w:rPr>
        <w:t xml:space="preserve">. Jeśli cofniemy się w czasie i odwołamy się do Komunikatu </w:t>
      </w:r>
      <w:r w:rsidR="00674FD8">
        <w:rPr>
          <w:rFonts w:ascii="Times New Roman" w:hAnsi="Times New Roman" w:cs="Times New Roman"/>
          <w:color w:val="000000"/>
          <w:sz w:val="20"/>
          <w:szCs w:val="20"/>
        </w:rPr>
        <w:t>KE</w:t>
      </w:r>
      <w:r w:rsidRPr="009524E5">
        <w:rPr>
          <w:rFonts w:ascii="Times New Roman" w:hAnsi="Times New Roman" w:cs="Times New Roman"/>
          <w:color w:val="000000"/>
          <w:sz w:val="20"/>
          <w:szCs w:val="20"/>
        </w:rPr>
        <w:t xml:space="preserve"> opublikowanego 18 listopada 2010 r</w:t>
      </w:r>
      <w:r w:rsidR="00674FD8">
        <w:rPr>
          <w:rFonts w:ascii="Times New Roman" w:hAnsi="Times New Roman" w:cs="Times New Roman"/>
          <w:color w:val="000000"/>
          <w:sz w:val="20"/>
          <w:szCs w:val="20"/>
        </w:rPr>
        <w:t>.</w:t>
      </w:r>
      <w:r w:rsidRPr="009524E5">
        <w:rPr>
          <w:rFonts w:ascii="Times New Roman" w:hAnsi="Times New Roman" w:cs="Times New Roman"/>
          <w:color w:val="000000"/>
          <w:sz w:val="20"/>
          <w:szCs w:val="20"/>
        </w:rPr>
        <w:t xml:space="preserve"> zatytułowanego </w:t>
      </w:r>
      <w:r w:rsidRPr="009524E5">
        <w:rPr>
          <w:rFonts w:ascii="Times New Roman" w:hAnsi="Times New Roman" w:cs="Times New Roman"/>
          <w:i/>
          <w:color w:val="000000"/>
          <w:sz w:val="20"/>
          <w:szCs w:val="20"/>
        </w:rPr>
        <w:t>WPR w kierunku 2020: Zaspokoić przyszłościowe wyzwania w zakresie produkcji żywności, zarządzania zasobami naturalnymi oraz rozwoju te</w:t>
      </w:r>
      <w:r w:rsidR="00674FD8">
        <w:rPr>
          <w:rFonts w:ascii="Times New Roman" w:hAnsi="Times New Roman" w:cs="Times New Roman"/>
          <w:i/>
          <w:color w:val="000000"/>
          <w:sz w:val="20"/>
          <w:szCs w:val="20"/>
        </w:rPr>
        <w:t>rytorialnego obszarów wiejskch</w:t>
      </w:r>
      <w:r w:rsidRPr="009524E5">
        <w:rPr>
          <w:rFonts w:ascii="Times New Roman" w:hAnsi="Times New Roman" w:cs="Times New Roman"/>
          <w:i/>
          <w:color w:val="000000"/>
          <w:sz w:val="20"/>
          <w:szCs w:val="20"/>
        </w:rPr>
        <w:t xml:space="preserve"> </w:t>
      </w:r>
      <w:r w:rsidR="00674FD8">
        <w:rPr>
          <w:rFonts w:ascii="Times New Roman" w:hAnsi="Times New Roman" w:cs="Times New Roman"/>
          <w:color w:val="000000"/>
          <w:sz w:val="20"/>
          <w:szCs w:val="20"/>
        </w:rPr>
        <w:t>[</w:t>
      </w:r>
      <w:r w:rsidR="00674FD8" w:rsidRPr="00674FD8">
        <w:rPr>
          <w:rFonts w:ascii="Times New Roman" w:hAnsi="Times New Roman" w:cs="Times New Roman"/>
          <w:i/>
          <w:sz w:val="16"/>
          <w:szCs w:val="16"/>
        </w:rPr>
        <w:t>The CAP towards 2020</w:t>
      </w:r>
      <w:r w:rsidR="00674FD8">
        <w:rPr>
          <w:rFonts w:ascii="Times New Roman" w:hAnsi="Times New Roman" w:cs="Times New Roman"/>
          <w:i/>
          <w:sz w:val="16"/>
          <w:szCs w:val="16"/>
        </w:rPr>
        <w:t>, 2010]</w:t>
      </w:r>
      <w:r w:rsidR="00674FD8">
        <w:rPr>
          <w:rFonts w:ascii="Times New Roman" w:hAnsi="Times New Roman" w:cs="Times New Roman"/>
          <w:color w:val="000000"/>
          <w:sz w:val="20"/>
          <w:szCs w:val="20"/>
        </w:rPr>
        <w:t xml:space="preserve"> ł</w:t>
      </w:r>
      <w:r w:rsidRPr="009524E5">
        <w:rPr>
          <w:rFonts w:ascii="Times New Roman" w:hAnsi="Times New Roman" w:cs="Times New Roman"/>
          <w:color w:val="000000"/>
          <w:sz w:val="20"/>
          <w:szCs w:val="20"/>
        </w:rPr>
        <w:t xml:space="preserve">atwo zauważamy, że sformułowane cele </w:t>
      </w:r>
      <w:r w:rsidR="00DD7B95" w:rsidRPr="009524E5">
        <w:rPr>
          <w:rFonts w:ascii="Times New Roman" w:hAnsi="Times New Roman" w:cs="Times New Roman"/>
          <w:color w:val="000000"/>
          <w:sz w:val="20"/>
          <w:szCs w:val="20"/>
        </w:rPr>
        <w:t xml:space="preserve">(bezpieczeństwo żywnościowe, zmiany środowiskowe i klimatyczne </w:t>
      </w:r>
      <w:r w:rsidR="00674FD8">
        <w:rPr>
          <w:rFonts w:ascii="Times New Roman" w:hAnsi="Times New Roman" w:cs="Times New Roman"/>
          <w:color w:val="000000"/>
          <w:sz w:val="20"/>
          <w:szCs w:val="20"/>
        </w:rPr>
        <w:t>i</w:t>
      </w:r>
      <w:r w:rsidR="00DD7B95" w:rsidRPr="009524E5">
        <w:rPr>
          <w:rFonts w:ascii="Times New Roman" w:hAnsi="Times New Roman" w:cs="Times New Roman"/>
          <w:color w:val="000000"/>
          <w:sz w:val="20"/>
          <w:szCs w:val="20"/>
        </w:rPr>
        <w:t xml:space="preserve"> rozwój spójności terytorialnej obszarów wiejskich) </w:t>
      </w:r>
      <w:r w:rsidR="008C0ABB" w:rsidRPr="009524E5">
        <w:rPr>
          <w:rFonts w:ascii="Times New Roman" w:hAnsi="Times New Roman" w:cs="Times New Roman"/>
          <w:color w:val="000000"/>
          <w:sz w:val="20"/>
          <w:szCs w:val="20"/>
        </w:rPr>
        <w:lastRenderedPageBreak/>
        <w:t xml:space="preserve">były już wtedy podnoszone i </w:t>
      </w:r>
      <w:r w:rsidRPr="009524E5">
        <w:rPr>
          <w:rFonts w:ascii="Times New Roman" w:hAnsi="Times New Roman" w:cs="Times New Roman"/>
          <w:color w:val="000000"/>
          <w:sz w:val="20"/>
          <w:szCs w:val="20"/>
        </w:rPr>
        <w:t xml:space="preserve">są podtrzymywane w trwającej </w:t>
      </w:r>
      <w:r w:rsidR="00DD7B95" w:rsidRPr="009524E5">
        <w:rPr>
          <w:rFonts w:ascii="Times New Roman" w:hAnsi="Times New Roman" w:cs="Times New Roman"/>
          <w:color w:val="000000"/>
          <w:sz w:val="20"/>
          <w:szCs w:val="20"/>
        </w:rPr>
        <w:t xml:space="preserve">obecnie </w:t>
      </w:r>
      <w:r w:rsidRPr="009524E5">
        <w:rPr>
          <w:rFonts w:ascii="Times New Roman" w:hAnsi="Times New Roman" w:cs="Times New Roman"/>
          <w:color w:val="000000"/>
          <w:sz w:val="20"/>
          <w:szCs w:val="20"/>
        </w:rPr>
        <w:t>dyskusji</w:t>
      </w:r>
      <w:r w:rsidR="008C0ABB" w:rsidRPr="009524E5">
        <w:rPr>
          <w:rFonts w:ascii="Times New Roman" w:hAnsi="Times New Roman" w:cs="Times New Roman"/>
          <w:color w:val="000000"/>
          <w:sz w:val="20"/>
          <w:szCs w:val="20"/>
        </w:rPr>
        <w:t xml:space="preserve"> nad kształtem WPR po 2020 roku</w:t>
      </w:r>
      <w:r w:rsidRPr="009524E5">
        <w:rPr>
          <w:rFonts w:ascii="Times New Roman" w:hAnsi="Times New Roman" w:cs="Times New Roman"/>
          <w:color w:val="000000"/>
          <w:sz w:val="20"/>
          <w:szCs w:val="20"/>
        </w:rPr>
        <w:t xml:space="preserve">. </w:t>
      </w:r>
    </w:p>
    <w:p w14:paraId="3D22726C" w14:textId="486054CD" w:rsidR="002C5FBD" w:rsidRPr="00674FD8" w:rsidRDefault="008C0ABB" w:rsidP="00674FD8">
      <w:pPr>
        <w:spacing w:after="0" w:line="240" w:lineRule="auto"/>
        <w:jc w:val="both"/>
        <w:rPr>
          <w:rFonts w:ascii="Times New Roman" w:eastAsia="Calibri" w:hAnsi="Times New Roman" w:cs="Times New Roman"/>
          <w:sz w:val="20"/>
          <w:szCs w:val="20"/>
        </w:rPr>
      </w:pPr>
      <w:r w:rsidRPr="009524E5">
        <w:rPr>
          <w:rFonts w:ascii="Times New Roman" w:hAnsi="Times New Roman" w:cs="Times New Roman"/>
          <w:color w:val="000000"/>
          <w:sz w:val="20"/>
          <w:szCs w:val="20"/>
        </w:rPr>
        <w:t>W 2011 r</w:t>
      </w:r>
      <w:r w:rsidR="00674FD8">
        <w:rPr>
          <w:rFonts w:ascii="Times New Roman" w:hAnsi="Times New Roman" w:cs="Times New Roman"/>
          <w:color w:val="000000"/>
          <w:sz w:val="20"/>
          <w:szCs w:val="20"/>
        </w:rPr>
        <w:t>.</w:t>
      </w:r>
      <w:r w:rsidRPr="009524E5">
        <w:rPr>
          <w:rFonts w:ascii="Times New Roman" w:hAnsi="Times New Roman" w:cs="Times New Roman"/>
          <w:color w:val="000000"/>
          <w:sz w:val="20"/>
          <w:szCs w:val="20"/>
        </w:rPr>
        <w:t xml:space="preserve">, </w:t>
      </w:r>
      <w:r w:rsidR="00DD7B95" w:rsidRPr="009524E5">
        <w:rPr>
          <w:rFonts w:ascii="Times New Roman" w:hAnsi="Times New Roman" w:cs="Times New Roman"/>
          <w:color w:val="000000"/>
          <w:sz w:val="20"/>
          <w:szCs w:val="20"/>
        </w:rPr>
        <w:t xml:space="preserve">Tangermann, jeden z czołowych </w:t>
      </w:r>
      <w:r w:rsidR="0014523D" w:rsidRPr="009524E5">
        <w:rPr>
          <w:rFonts w:ascii="Times New Roman" w:hAnsi="Times New Roman" w:cs="Times New Roman"/>
          <w:color w:val="000000"/>
          <w:sz w:val="20"/>
          <w:szCs w:val="20"/>
        </w:rPr>
        <w:t xml:space="preserve">ekonomistów rolnych </w:t>
      </w:r>
      <w:r w:rsidR="00DD7B95" w:rsidRPr="009524E5">
        <w:rPr>
          <w:rFonts w:ascii="Times New Roman" w:hAnsi="Times New Roman" w:cs="Times New Roman"/>
          <w:color w:val="000000"/>
          <w:sz w:val="20"/>
          <w:szCs w:val="20"/>
        </w:rPr>
        <w:t>krytyk</w:t>
      </w:r>
      <w:r w:rsidR="0014523D" w:rsidRPr="009524E5">
        <w:rPr>
          <w:rFonts w:ascii="Times New Roman" w:hAnsi="Times New Roman" w:cs="Times New Roman"/>
          <w:color w:val="000000"/>
          <w:sz w:val="20"/>
          <w:szCs w:val="20"/>
        </w:rPr>
        <w:t xml:space="preserve">ujących </w:t>
      </w:r>
      <w:r w:rsidRPr="009524E5">
        <w:rPr>
          <w:rFonts w:ascii="Times New Roman" w:hAnsi="Times New Roman" w:cs="Times New Roman"/>
          <w:color w:val="000000"/>
          <w:sz w:val="20"/>
          <w:szCs w:val="20"/>
        </w:rPr>
        <w:t xml:space="preserve">w tamtym okresie </w:t>
      </w:r>
      <w:r w:rsidR="00EF1492" w:rsidRPr="009524E5">
        <w:rPr>
          <w:rFonts w:ascii="Times New Roman" w:hAnsi="Times New Roman" w:cs="Times New Roman"/>
          <w:color w:val="000000"/>
          <w:sz w:val="20"/>
          <w:szCs w:val="20"/>
        </w:rPr>
        <w:t xml:space="preserve">kształt </w:t>
      </w:r>
      <w:r w:rsidR="00DD7B95" w:rsidRPr="009524E5">
        <w:rPr>
          <w:rFonts w:ascii="Times New Roman" w:hAnsi="Times New Roman" w:cs="Times New Roman"/>
          <w:color w:val="000000"/>
          <w:sz w:val="20"/>
          <w:szCs w:val="20"/>
        </w:rPr>
        <w:t xml:space="preserve">WPR, </w:t>
      </w:r>
      <w:r w:rsidR="00674FD8">
        <w:rPr>
          <w:rFonts w:ascii="Times New Roman" w:hAnsi="Times New Roman" w:cs="Times New Roman"/>
          <w:sz w:val="20"/>
          <w:szCs w:val="20"/>
        </w:rPr>
        <w:t>stwierdził</w:t>
      </w:r>
      <w:r w:rsidR="002E3D5D" w:rsidRPr="009524E5">
        <w:rPr>
          <w:rFonts w:ascii="Times New Roman" w:hAnsi="Times New Roman" w:cs="Times New Roman"/>
          <w:color w:val="000000"/>
          <w:sz w:val="20"/>
          <w:szCs w:val="20"/>
        </w:rPr>
        <w:t>,</w:t>
      </w:r>
      <w:r w:rsidR="00DD7B95" w:rsidRPr="009524E5">
        <w:rPr>
          <w:rFonts w:ascii="Times New Roman" w:hAnsi="Times New Roman" w:cs="Times New Roman"/>
          <w:color w:val="000000"/>
          <w:sz w:val="20"/>
          <w:szCs w:val="20"/>
        </w:rPr>
        <w:t xml:space="preserve"> że </w:t>
      </w:r>
      <w:r w:rsidR="0014523D" w:rsidRPr="009524E5">
        <w:rPr>
          <w:rFonts w:ascii="Times New Roman" w:hAnsi="Times New Roman" w:cs="Times New Roman"/>
          <w:color w:val="000000"/>
          <w:sz w:val="20"/>
          <w:szCs w:val="20"/>
        </w:rPr>
        <w:t>od czasu wprowadzeni</w:t>
      </w:r>
      <w:r w:rsidRPr="009524E5">
        <w:rPr>
          <w:rFonts w:ascii="Times New Roman" w:hAnsi="Times New Roman" w:cs="Times New Roman"/>
          <w:color w:val="000000"/>
          <w:sz w:val="20"/>
          <w:szCs w:val="20"/>
        </w:rPr>
        <w:t>a</w:t>
      </w:r>
      <w:r w:rsidR="0014523D" w:rsidRPr="009524E5">
        <w:rPr>
          <w:rFonts w:ascii="Times New Roman" w:hAnsi="Times New Roman" w:cs="Times New Roman"/>
          <w:color w:val="000000"/>
          <w:sz w:val="20"/>
          <w:szCs w:val="20"/>
        </w:rPr>
        <w:t xml:space="preserve"> </w:t>
      </w:r>
      <w:r w:rsidR="00DD7B95" w:rsidRPr="009524E5">
        <w:rPr>
          <w:rFonts w:ascii="Times New Roman" w:hAnsi="Times New Roman" w:cs="Times New Roman"/>
          <w:color w:val="000000"/>
          <w:sz w:val="20"/>
          <w:szCs w:val="20"/>
        </w:rPr>
        <w:t xml:space="preserve">w </w:t>
      </w:r>
      <w:r w:rsidRPr="009524E5">
        <w:rPr>
          <w:rFonts w:ascii="Times New Roman" w:hAnsi="Times New Roman" w:cs="Times New Roman"/>
          <w:color w:val="000000"/>
          <w:sz w:val="20"/>
          <w:szCs w:val="20"/>
        </w:rPr>
        <w:t xml:space="preserve">ramach </w:t>
      </w:r>
      <w:r w:rsidR="00DD7B95" w:rsidRPr="009524E5">
        <w:rPr>
          <w:rFonts w:ascii="Times New Roman" w:hAnsi="Times New Roman" w:cs="Times New Roman"/>
          <w:color w:val="000000"/>
          <w:sz w:val="20"/>
          <w:szCs w:val="20"/>
        </w:rPr>
        <w:t>reformy MacSharry’</w:t>
      </w:r>
      <w:r w:rsidR="0014523D" w:rsidRPr="009524E5">
        <w:rPr>
          <w:rFonts w:ascii="Times New Roman" w:hAnsi="Times New Roman" w:cs="Times New Roman"/>
          <w:color w:val="000000"/>
          <w:sz w:val="20"/>
          <w:szCs w:val="20"/>
        </w:rPr>
        <w:t>ego</w:t>
      </w:r>
      <w:r w:rsidR="00DD7B95" w:rsidRPr="009524E5">
        <w:rPr>
          <w:rFonts w:ascii="Times New Roman" w:hAnsi="Times New Roman" w:cs="Times New Roman"/>
          <w:color w:val="000000"/>
          <w:sz w:val="20"/>
          <w:szCs w:val="20"/>
        </w:rPr>
        <w:t>,</w:t>
      </w:r>
      <w:r w:rsidR="002E3D5D" w:rsidRPr="009524E5">
        <w:rPr>
          <w:rFonts w:ascii="Times New Roman" w:hAnsi="Times New Roman" w:cs="Times New Roman"/>
          <w:color w:val="000000"/>
          <w:sz w:val="20"/>
          <w:szCs w:val="20"/>
        </w:rPr>
        <w:t xml:space="preserve"> system </w:t>
      </w:r>
      <w:r w:rsidR="002C5FBD" w:rsidRPr="009524E5">
        <w:rPr>
          <w:rFonts w:ascii="Times New Roman" w:hAnsi="Times New Roman" w:cs="Times New Roman"/>
          <w:color w:val="000000"/>
          <w:sz w:val="20"/>
          <w:szCs w:val="20"/>
        </w:rPr>
        <w:t>płatności bezpośrednich</w:t>
      </w:r>
      <w:r w:rsidR="002E3D5D" w:rsidRPr="009524E5">
        <w:rPr>
          <w:rFonts w:ascii="Times New Roman" w:hAnsi="Times New Roman" w:cs="Times New Roman"/>
          <w:color w:val="000000"/>
          <w:sz w:val="20"/>
          <w:szCs w:val="20"/>
        </w:rPr>
        <w:t xml:space="preserve"> </w:t>
      </w:r>
      <w:r w:rsidR="002B0857" w:rsidRPr="009524E5">
        <w:rPr>
          <w:rFonts w:ascii="Times New Roman" w:hAnsi="Times New Roman" w:cs="Times New Roman"/>
          <w:color w:val="000000"/>
          <w:sz w:val="20"/>
          <w:szCs w:val="20"/>
        </w:rPr>
        <w:t>s</w:t>
      </w:r>
      <w:r w:rsidR="002E3D5D" w:rsidRPr="009524E5">
        <w:rPr>
          <w:rFonts w:ascii="Times New Roman" w:hAnsi="Times New Roman" w:cs="Times New Roman"/>
          <w:color w:val="000000"/>
          <w:sz w:val="20"/>
          <w:szCs w:val="20"/>
        </w:rPr>
        <w:t>trac</w:t>
      </w:r>
      <w:r w:rsidR="002B0857" w:rsidRPr="009524E5">
        <w:rPr>
          <w:rFonts w:ascii="Times New Roman" w:hAnsi="Times New Roman" w:cs="Times New Roman"/>
          <w:color w:val="000000"/>
          <w:sz w:val="20"/>
          <w:szCs w:val="20"/>
        </w:rPr>
        <w:t>ił</w:t>
      </w:r>
      <w:r w:rsidR="002E3D5D" w:rsidRPr="009524E5">
        <w:rPr>
          <w:rFonts w:ascii="Times New Roman" w:hAnsi="Times New Roman" w:cs="Times New Roman"/>
          <w:color w:val="000000"/>
          <w:sz w:val="20"/>
          <w:szCs w:val="20"/>
        </w:rPr>
        <w:t xml:space="preserve"> uzasadnienie dla dalszej kontynuacji w pierwotnym kształcie</w:t>
      </w:r>
      <w:r w:rsidR="00674FD8">
        <w:rPr>
          <w:rFonts w:ascii="Times New Roman" w:hAnsi="Times New Roman" w:cs="Times New Roman"/>
          <w:color w:val="000000"/>
          <w:sz w:val="20"/>
          <w:szCs w:val="20"/>
        </w:rPr>
        <w:t xml:space="preserve"> </w:t>
      </w:r>
      <w:r w:rsidR="00674FD8" w:rsidRPr="00674FD8">
        <w:rPr>
          <w:rFonts w:ascii="Times New Roman" w:hAnsi="Times New Roman" w:cs="Times New Roman"/>
          <w:color w:val="000000"/>
          <w:sz w:val="20"/>
          <w:szCs w:val="20"/>
        </w:rPr>
        <w:t>[</w:t>
      </w:r>
      <w:r w:rsidR="00674FD8" w:rsidRPr="00674FD8">
        <w:rPr>
          <w:rFonts w:ascii="Times New Roman" w:hAnsi="Times New Roman" w:cs="Times New Roman"/>
          <w:sz w:val="20"/>
          <w:szCs w:val="20"/>
        </w:rPr>
        <w:t>Tangermann</w:t>
      </w:r>
      <w:r w:rsidR="00674FD8" w:rsidRPr="00674FD8">
        <w:rPr>
          <w:rStyle w:val="FootnoteReference"/>
          <w:rFonts w:ascii="Times New Roman" w:hAnsi="Times New Roman" w:cs="Times New Roman"/>
          <w:color w:val="000000"/>
          <w:sz w:val="20"/>
          <w:szCs w:val="20"/>
        </w:rPr>
        <w:t xml:space="preserve"> </w:t>
      </w:r>
      <w:r w:rsidR="00674FD8" w:rsidRPr="00674FD8">
        <w:rPr>
          <w:rFonts w:ascii="Times New Roman" w:hAnsi="Times New Roman" w:cs="Times New Roman"/>
          <w:color w:val="000000"/>
          <w:sz w:val="20"/>
          <w:szCs w:val="20"/>
        </w:rPr>
        <w:t>2011].</w:t>
      </w:r>
      <w:r w:rsidR="003116DB" w:rsidRPr="00674FD8">
        <w:rPr>
          <w:rFonts w:ascii="Times New Roman" w:eastAsia="Calibri" w:hAnsi="Times New Roman" w:cs="Times New Roman"/>
          <w:sz w:val="20"/>
          <w:szCs w:val="20"/>
        </w:rPr>
        <w:t xml:space="preserve"> </w:t>
      </w:r>
    </w:p>
    <w:p w14:paraId="7A587B82" w14:textId="653FC2BE" w:rsidR="003116DB" w:rsidRPr="009524E5" w:rsidRDefault="008C0ABB" w:rsidP="00674FD8">
      <w:pPr>
        <w:spacing w:after="0" w:line="240" w:lineRule="auto"/>
        <w:jc w:val="both"/>
        <w:rPr>
          <w:rFonts w:ascii="Times New Roman" w:eastAsia="Calibri" w:hAnsi="Times New Roman" w:cs="Times New Roman"/>
          <w:sz w:val="20"/>
          <w:szCs w:val="20"/>
        </w:rPr>
      </w:pPr>
      <w:r w:rsidRPr="009524E5">
        <w:rPr>
          <w:rFonts w:ascii="Times New Roman" w:eastAsia="Calibri" w:hAnsi="Times New Roman" w:cs="Times New Roman"/>
          <w:sz w:val="20"/>
          <w:szCs w:val="20"/>
        </w:rPr>
        <w:t xml:space="preserve">Pierwotnie </w:t>
      </w:r>
      <w:r w:rsidR="002C5FBD" w:rsidRPr="009524E5">
        <w:rPr>
          <w:rFonts w:ascii="Times New Roman" w:eastAsia="Calibri" w:hAnsi="Times New Roman" w:cs="Times New Roman"/>
          <w:sz w:val="20"/>
          <w:szCs w:val="20"/>
        </w:rPr>
        <w:t>płatności bezpośredni</w:t>
      </w:r>
      <w:r w:rsidRPr="009524E5">
        <w:rPr>
          <w:rFonts w:ascii="Times New Roman" w:eastAsia="Calibri" w:hAnsi="Times New Roman" w:cs="Times New Roman"/>
          <w:sz w:val="20"/>
          <w:szCs w:val="20"/>
        </w:rPr>
        <w:t>e</w:t>
      </w:r>
      <w:r w:rsidR="002C5FBD" w:rsidRPr="009524E5">
        <w:rPr>
          <w:rFonts w:ascii="Times New Roman" w:eastAsia="Calibri" w:hAnsi="Times New Roman" w:cs="Times New Roman"/>
          <w:sz w:val="20"/>
          <w:szCs w:val="20"/>
        </w:rPr>
        <w:t xml:space="preserve"> miał</w:t>
      </w:r>
      <w:r w:rsidRPr="009524E5">
        <w:rPr>
          <w:rFonts w:ascii="Times New Roman" w:eastAsia="Calibri" w:hAnsi="Times New Roman" w:cs="Times New Roman"/>
          <w:sz w:val="20"/>
          <w:szCs w:val="20"/>
        </w:rPr>
        <w:t>y</w:t>
      </w:r>
      <w:r w:rsidR="002C5FBD" w:rsidRPr="009524E5">
        <w:rPr>
          <w:rFonts w:ascii="Times New Roman" w:eastAsia="Calibri" w:hAnsi="Times New Roman" w:cs="Times New Roman"/>
          <w:sz w:val="20"/>
          <w:szCs w:val="20"/>
        </w:rPr>
        <w:t xml:space="preserve"> na celu rekompensowa</w:t>
      </w:r>
      <w:r w:rsidRPr="009524E5">
        <w:rPr>
          <w:rFonts w:ascii="Times New Roman" w:eastAsia="Calibri" w:hAnsi="Times New Roman" w:cs="Times New Roman"/>
          <w:sz w:val="20"/>
          <w:szCs w:val="20"/>
        </w:rPr>
        <w:t>ć</w:t>
      </w:r>
      <w:r w:rsidR="002C5FBD" w:rsidRPr="009524E5">
        <w:rPr>
          <w:rFonts w:ascii="Times New Roman" w:eastAsia="Calibri" w:hAnsi="Times New Roman" w:cs="Times New Roman"/>
          <w:sz w:val="20"/>
          <w:szCs w:val="20"/>
        </w:rPr>
        <w:t xml:space="preserve"> rolnikom zmniejszenie ich dochodów wskutek obniżki cen gwarantowanych podstawowych płodów rolnych. Pomimo krótkiego okresu funkcjonowania system płatności bezpośrednich stał się podstawowym instrumentem wsparcia dochodów rolników we wszystkich krajach UE. </w:t>
      </w:r>
      <w:r w:rsidR="003116DB" w:rsidRPr="009524E5">
        <w:rPr>
          <w:rFonts w:ascii="Times New Roman" w:eastAsia="Calibri" w:hAnsi="Times New Roman" w:cs="Times New Roman"/>
          <w:sz w:val="20"/>
          <w:szCs w:val="20"/>
        </w:rPr>
        <w:t>P</w:t>
      </w:r>
      <w:r w:rsidRPr="009524E5">
        <w:rPr>
          <w:rFonts w:ascii="Times New Roman" w:eastAsia="Calibri" w:hAnsi="Times New Roman" w:cs="Times New Roman"/>
          <w:sz w:val="20"/>
          <w:szCs w:val="20"/>
        </w:rPr>
        <w:t xml:space="preserve">oczątkowo </w:t>
      </w:r>
      <w:r w:rsidR="003116DB" w:rsidRPr="009524E5">
        <w:rPr>
          <w:rFonts w:ascii="Times New Roman" w:eastAsia="Calibri" w:hAnsi="Times New Roman" w:cs="Times New Roman"/>
          <w:sz w:val="20"/>
          <w:szCs w:val="20"/>
        </w:rPr>
        <w:t>ich wielkość była wyliczana na podstawie tzw. kryteriów historycznych, tj. wielkości obszarowej gospodarstwa oraz potencjału produkcyjnego. Tym sposobem od początku powodowało to duże zróżnicowanie w</w:t>
      </w:r>
      <w:r w:rsidRPr="009524E5">
        <w:rPr>
          <w:rFonts w:ascii="Times New Roman" w:eastAsia="Calibri" w:hAnsi="Times New Roman" w:cs="Times New Roman"/>
          <w:sz w:val="20"/>
          <w:szCs w:val="20"/>
        </w:rPr>
        <w:t xml:space="preserve">ysokości </w:t>
      </w:r>
      <w:r w:rsidR="003116DB" w:rsidRPr="009524E5">
        <w:rPr>
          <w:rFonts w:ascii="Times New Roman" w:eastAsia="Calibri" w:hAnsi="Times New Roman" w:cs="Times New Roman"/>
          <w:sz w:val="20"/>
          <w:szCs w:val="20"/>
        </w:rPr>
        <w:t>płatności na gospodarstwo. Największe wsparcie uzyskiwali rolnicy posiadający duże obszarowo gospodarstwa, co skutkowało pogłębianiem się dysproporcji dochodowych na wsi.</w:t>
      </w:r>
      <w:r w:rsidR="002C5FBD" w:rsidRPr="009524E5">
        <w:rPr>
          <w:rFonts w:ascii="Times New Roman" w:eastAsia="Calibri" w:hAnsi="Times New Roman" w:cs="Times New Roman"/>
          <w:sz w:val="20"/>
          <w:szCs w:val="20"/>
        </w:rPr>
        <w:t xml:space="preserve"> </w:t>
      </w:r>
      <w:r w:rsidR="003116DB" w:rsidRPr="009524E5">
        <w:rPr>
          <w:rFonts w:ascii="Times New Roman" w:eastAsia="Calibri" w:hAnsi="Times New Roman" w:cs="Times New Roman"/>
          <w:sz w:val="20"/>
          <w:szCs w:val="20"/>
        </w:rPr>
        <w:t>Doświadczenia z pierwszego okresu wdrażania tego mechanizmu sprawiły, że kolejne reformy systemu dopłat bezpośrednich szły w kierunku oddzielenia ich od historycznych kryteriów i skali produkcji.</w:t>
      </w:r>
    </w:p>
    <w:p w14:paraId="2F87287B" w14:textId="77777777" w:rsidR="003116DB" w:rsidRPr="009524E5" w:rsidRDefault="003116DB" w:rsidP="00674FD8">
      <w:pPr>
        <w:spacing w:after="0" w:line="240" w:lineRule="auto"/>
        <w:jc w:val="both"/>
        <w:rPr>
          <w:rFonts w:ascii="Times New Roman" w:eastAsia="Calibri" w:hAnsi="Times New Roman" w:cs="Times New Roman"/>
          <w:sz w:val="20"/>
          <w:szCs w:val="20"/>
        </w:rPr>
      </w:pPr>
      <w:r w:rsidRPr="009524E5">
        <w:rPr>
          <w:rFonts w:ascii="Times New Roman" w:eastAsia="Calibri" w:hAnsi="Times New Roman" w:cs="Times New Roman"/>
          <w:sz w:val="20"/>
          <w:szCs w:val="20"/>
        </w:rPr>
        <w:t>W wyniku reformy luksemburskiej z 2003 r. wprowadzono jednolitą płatność do gospodarstwa lub jednolitą płatność regionalną w systemie płatności SPS (</w:t>
      </w:r>
      <w:r w:rsidRPr="009524E5">
        <w:rPr>
          <w:rFonts w:ascii="Times New Roman" w:eastAsia="Calibri" w:hAnsi="Times New Roman" w:cs="Times New Roman"/>
          <w:i/>
          <w:sz w:val="20"/>
          <w:szCs w:val="20"/>
        </w:rPr>
        <w:t>Single Payment Scheme</w:t>
      </w:r>
      <w:r w:rsidRPr="009524E5">
        <w:rPr>
          <w:rFonts w:ascii="Times New Roman" w:eastAsia="Calibri" w:hAnsi="Times New Roman" w:cs="Times New Roman"/>
          <w:sz w:val="20"/>
          <w:szCs w:val="20"/>
        </w:rPr>
        <w:t>), obliczoną na bazie dopłat z lat 2000-2003</w:t>
      </w:r>
      <w:r w:rsidRPr="009524E5">
        <w:rPr>
          <w:rStyle w:val="FootnoteReference"/>
          <w:rFonts w:ascii="Times New Roman" w:eastAsia="Calibri" w:hAnsi="Times New Roman" w:cs="Times New Roman"/>
          <w:sz w:val="20"/>
          <w:szCs w:val="20"/>
        </w:rPr>
        <w:footnoteReference w:id="5"/>
      </w:r>
      <w:r w:rsidRPr="009524E5">
        <w:rPr>
          <w:rFonts w:ascii="Times New Roman" w:eastAsia="Calibri" w:hAnsi="Times New Roman" w:cs="Times New Roman"/>
          <w:sz w:val="20"/>
          <w:szCs w:val="20"/>
        </w:rPr>
        <w:t>. Możliwość uzyskiwania tak zdefiniowanej płatności powiązano z koniecznością spełniania przez rolników tzw. zasady współzależności (</w:t>
      </w:r>
      <w:r w:rsidRPr="009524E5">
        <w:rPr>
          <w:rFonts w:ascii="Times New Roman" w:eastAsia="Calibri" w:hAnsi="Times New Roman" w:cs="Times New Roman"/>
          <w:i/>
          <w:sz w:val="20"/>
          <w:szCs w:val="20"/>
        </w:rPr>
        <w:t>cross compliance</w:t>
      </w:r>
      <w:r w:rsidRPr="009524E5">
        <w:rPr>
          <w:rFonts w:ascii="Times New Roman" w:eastAsia="Calibri" w:hAnsi="Times New Roman" w:cs="Times New Roman"/>
          <w:sz w:val="20"/>
          <w:szCs w:val="20"/>
        </w:rPr>
        <w:t>)</w:t>
      </w:r>
      <w:r w:rsidRPr="009524E5">
        <w:rPr>
          <w:rStyle w:val="FootnoteReference"/>
          <w:rFonts w:ascii="Times New Roman" w:eastAsia="Calibri" w:hAnsi="Times New Roman" w:cs="Times New Roman"/>
          <w:sz w:val="20"/>
          <w:szCs w:val="20"/>
        </w:rPr>
        <w:footnoteReference w:id="6"/>
      </w:r>
      <w:r w:rsidRPr="009524E5">
        <w:rPr>
          <w:rFonts w:ascii="Times New Roman" w:eastAsia="Calibri" w:hAnsi="Times New Roman" w:cs="Times New Roman"/>
          <w:sz w:val="20"/>
          <w:szCs w:val="20"/>
        </w:rPr>
        <w:t>. Zasada ta stała się też obowiązkowa w systemie SAPS (</w:t>
      </w:r>
      <w:r w:rsidRPr="009524E5">
        <w:rPr>
          <w:rFonts w:ascii="Times New Roman" w:eastAsia="Calibri" w:hAnsi="Times New Roman" w:cs="Times New Roman"/>
          <w:i/>
          <w:sz w:val="20"/>
          <w:szCs w:val="20"/>
        </w:rPr>
        <w:t>Single Area Payment Scheme</w:t>
      </w:r>
      <w:r w:rsidRPr="009524E5">
        <w:rPr>
          <w:rFonts w:ascii="Times New Roman" w:eastAsia="Calibri" w:hAnsi="Times New Roman" w:cs="Times New Roman"/>
          <w:sz w:val="20"/>
          <w:szCs w:val="20"/>
        </w:rPr>
        <w:t xml:space="preserve">), przyjętym przez większość nowych krajów członkowskich, w tym Polskę. Taki kierunek reform systemu dopłat miał na celu odejście od wspierania produktu na rzecz wsparcia producenta. </w:t>
      </w:r>
    </w:p>
    <w:p w14:paraId="74506F85" w14:textId="25CD19B7" w:rsidR="002C5FBD" w:rsidRPr="009524E5" w:rsidRDefault="00674FD8" w:rsidP="00674FD8">
      <w:pPr>
        <w:spacing w:before="120" w:after="12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KE</w:t>
      </w:r>
      <w:r w:rsidR="002B0857" w:rsidRPr="009524E5">
        <w:rPr>
          <w:rFonts w:ascii="Times New Roman" w:hAnsi="Times New Roman" w:cs="Times New Roman"/>
          <w:color w:val="000000"/>
          <w:sz w:val="20"/>
          <w:szCs w:val="20"/>
        </w:rPr>
        <w:t>, pomimo upływu czasu i zmianie uwarunkowań zewnętrznych, ni</w:t>
      </w:r>
      <w:r w:rsidR="002E3D5D" w:rsidRPr="009524E5">
        <w:rPr>
          <w:rFonts w:ascii="Times New Roman" w:hAnsi="Times New Roman" w:cs="Times New Roman"/>
          <w:color w:val="000000"/>
          <w:sz w:val="20"/>
          <w:szCs w:val="20"/>
        </w:rPr>
        <w:t xml:space="preserve">e zaproponowała większych zmian w stosunku do </w:t>
      </w:r>
      <w:r w:rsidR="002C5FBD" w:rsidRPr="009524E5">
        <w:rPr>
          <w:rFonts w:ascii="Times New Roman" w:hAnsi="Times New Roman" w:cs="Times New Roman"/>
          <w:color w:val="000000"/>
          <w:sz w:val="20"/>
          <w:szCs w:val="20"/>
        </w:rPr>
        <w:t xml:space="preserve">przyjętego i </w:t>
      </w:r>
      <w:r w:rsidR="002E3D5D" w:rsidRPr="009524E5">
        <w:rPr>
          <w:rFonts w:ascii="Times New Roman" w:hAnsi="Times New Roman" w:cs="Times New Roman"/>
          <w:color w:val="000000"/>
          <w:sz w:val="20"/>
          <w:szCs w:val="20"/>
        </w:rPr>
        <w:t>wdrażanego systemu płatności bezpośrednich.</w:t>
      </w:r>
      <w:r w:rsidR="004D06D9" w:rsidRPr="009524E5">
        <w:rPr>
          <w:rFonts w:ascii="Times New Roman" w:hAnsi="Times New Roman" w:cs="Times New Roman"/>
          <w:color w:val="000000"/>
          <w:sz w:val="20"/>
          <w:szCs w:val="20"/>
        </w:rPr>
        <w:t xml:space="preserve"> Zaczęto jednak poszukiwać nowej legit</w:t>
      </w:r>
      <w:r w:rsidR="008C0ABB" w:rsidRPr="009524E5">
        <w:rPr>
          <w:rFonts w:ascii="Times New Roman" w:hAnsi="Times New Roman" w:cs="Times New Roman"/>
          <w:color w:val="000000"/>
          <w:sz w:val="20"/>
          <w:szCs w:val="20"/>
        </w:rPr>
        <w:t>y</w:t>
      </w:r>
      <w:r w:rsidR="004D06D9" w:rsidRPr="009524E5">
        <w:rPr>
          <w:rFonts w:ascii="Times New Roman" w:hAnsi="Times New Roman" w:cs="Times New Roman"/>
          <w:color w:val="000000"/>
          <w:sz w:val="20"/>
          <w:szCs w:val="20"/>
        </w:rPr>
        <w:t>mizacji tych płatności dla podatników unijnych.</w:t>
      </w:r>
      <w:r w:rsidR="002E3D5D" w:rsidRPr="009524E5">
        <w:rPr>
          <w:rFonts w:ascii="Times New Roman" w:hAnsi="Times New Roman" w:cs="Times New Roman"/>
          <w:color w:val="000000"/>
          <w:sz w:val="20"/>
          <w:szCs w:val="20"/>
        </w:rPr>
        <w:t xml:space="preserve"> </w:t>
      </w:r>
    </w:p>
    <w:p w14:paraId="619BCB2D" w14:textId="14D713C8" w:rsidR="002E3D5D" w:rsidRPr="009524E5" w:rsidRDefault="008C0ABB" w:rsidP="00674FD8">
      <w:pPr>
        <w:spacing w:before="120" w:after="120" w:line="240" w:lineRule="auto"/>
        <w:jc w:val="both"/>
        <w:rPr>
          <w:rFonts w:ascii="Times New Roman" w:hAnsi="Times New Roman" w:cs="Times New Roman"/>
          <w:color w:val="000000"/>
          <w:sz w:val="20"/>
          <w:szCs w:val="20"/>
        </w:rPr>
      </w:pPr>
      <w:r w:rsidRPr="009524E5">
        <w:rPr>
          <w:rFonts w:ascii="Times New Roman" w:hAnsi="Times New Roman" w:cs="Times New Roman"/>
          <w:color w:val="000000"/>
          <w:sz w:val="20"/>
          <w:szCs w:val="20"/>
        </w:rPr>
        <w:t xml:space="preserve">Wspomniany </w:t>
      </w:r>
      <w:r w:rsidR="002B0857" w:rsidRPr="009524E5">
        <w:rPr>
          <w:rFonts w:ascii="Times New Roman" w:hAnsi="Times New Roman" w:cs="Times New Roman"/>
          <w:color w:val="000000"/>
          <w:sz w:val="20"/>
          <w:szCs w:val="20"/>
        </w:rPr>
        <w:t xml:space="preserve">Tangermann </w:t>
      </w:r>
      <w:r w:rsidR="002C5FBD" w:rsidRPr="009524E5">
        <w:rPr>
          <w:rFonts w:ascii="Times New Roman" w:hAnsi="Times New Roman" w:cs="Times New Roman"/>
          <w:color w:val="000000"/>
          <w:sz w:val="20"/>
          <w:szCs w:val="20"/>
        </w:rPr>
        <w:t xml:space="preserve">w 2011 r. </w:t>
      </w:r>
      <w:r w:rsidR="002B0857" w:rsidRPr="009524E5">
        <w:rPr>
          <w:rFonts w:ascii="Times New Roman" w:hAnsi="Times New Roman" w:cs="Times New Roman"/>
          <w:color w:val="000000"/>
          <w:sz w:val="20"/>
          <w:szCs w:val="20"/>
        </w:rPr>
        <w:t>z</w:t>
      </w:r>
      <w:r w:rsidR="002E3D5D" w:rsidRPr="009524E5">
        <w:rPr>
          <w:rFonts w:ascii="Times New Roman" w:hAnsi="Times New Roman" w:cs="Times New Roman"/>
          <w:color w:val="000000"/>
          <w:sz w:val="20"/>
          <w:szCs w:val="20"/>
        </w:rPr>
        <w:t xml:space="preserve">aproponował nowe uzasadnienie dla kontynuacji </w:t>
      </w:r>
      <w:r w:rsidR="00525FA3" w:rsidRPr="009524E5">
        <w:rPr>
          <w:rFonts w:ascii="Times New Roman" w:hAnsi="Times New Roman" w:cs="Times New Roman"/>
          <w:color w:val="000000"/>
          <w:sz w:val="20"/>
          <w:szCs w:val="20"/>
        </w:rPr>
        <w:t>WPR</w:t>
      </w:r>
      <w:r w:rsidR="002E3D5D" w:rsidRPr="009524E5">
        <w:rPr>
          <w:rFonts w:ascii="Times New Roman" w:hAnsi="Times New Roman" w:cs="Times New Roman"/>
          <w:color w:val="000000"/>
          <w:sz w:val="20"/>
          <w:szCs w:val="20"/>
        </w:rPr>
        <w:t xml:space="preserve">, stwierdzając, że płatności bezpośrednie </w:t>
      </w:r>
      <w:r w:rsidR="0014523D" w:rsidRPr="009524E5">
        <w:rPr>
          <w:rFonts w:ascii="Times New Roman" w:hAnsi="Times New Roman" w:cs="Times New Roman"/>
          <w:color w:val="000000"/>
          <w:sz w:val="20"/>
          <w:szCs w:val="20"/>
        </w:rPr>
        <w:t>powinny być</w:t>
      </w:r>
      <w:r w:rsidR="002E3D5D" w:rsidRPr="009524E5">
        <w:rPr>
          <w:rFonts w:ascii="Times New Roman" w:hAnsi="Times New Roman" w:cs="Times New Roman"/>
          <w:color w:val="000000"/>
          <w:sz w:val="20"/>
          <w:szCs w:val="20"/>
        </w:rPr>
        <w:t xml:space="preserve"> narzędziem pozwalającym rolnikom podołać nowym wyzwaniom, jakie napotkają w przyszłości. </w:t>
      </w:r>
      <w:r w:rsidRPr="009524E5">
        <w:rPr>
          <w:rFonts w:ascii="Times New Roman" w:hAnsi="Times New Roman" w:cs="Times New Roman"/>
          <w:color w:val="000000"/>
          <w:sz w:val="20"/>
          <w:szCs w:val="20"/>
        </w:rPr>
        <w:t xml:space="preserve">Argument ten </w:t>
      </w:r>
      <w:r w:rsidR="0014523D" w:rsidRPr="009524E5">
        <w:rPr>
          <w:rFonts w:ascii="Times New Roman" w:hAnsi="Times New Roman" w:cs="Times New Roman"/>
          <w:color w:val="000000"/>
          <w:sz w:val="20"/>
          <w:szCs w:val="20"/>
        </w:rPr>
        <w:t xml:space="preserve">uzasadnia </w:t>
      </w:r>
      <w:r w:rsidRPr="009524E5">
        <w:rPr>
          <w:rFonts w:ascii="Times New Roman" w:hAnsi="Times New Roman" w:cs="Times New Roman"/>
          <w:color w:val="000000"/>
          <w:sz w:val="20"/>
          <w:szCs w:val="20"/>
        </w:rPr>
        <w:t xml:space="preserve">jego zdaniem </w:t>
      </w:r>
      <w:r w:rsidR="00525FA3" w:rsidRPr="009524E5">
        <w:rPr>
          <w:rFonts w:ascii="Times New Roman" w:hAnsi="Times New Roman" w:cs="Times New Roman"/>
          <w:color w:val="000000"/>
          <w:sz w:val="20"/>
          <w:szCs w:val="20"/>
        </w:rPr>
        <w:t xml:space="preserve">odejście od płatności historycznych i </w:t>
      </w:r>
      <w:r w:rsidR="0014523D" w:rsidRPr="009524E5">
        <w:rPr>
          <w:rFonts w:ascii="Times New Roman" w:hAnsi="Times New Roman" w:cs="Times New Roman"/>
          <w:color w:val="000000"/>
          <w:sz w:val="20"/>
          <w:szCs w:val="20"/>
        </w:rPr>
        <w:t xml:space="preserve">spłaszczanie zróżnicowania stawek dopłat na hektar użytków rolnych </w:t>
      </w:r>
      <w:r w:rsidR="002E3D5D" w:rsidRPr="009524E5">
        <w:rPr>
          <w:rFonts w:ascii="Times New Roman" w:hAnsi="Times New Roman" w:cs="Times New Roman"/>
          <w:color w:val="000000"/>
          <w:sz w:val="20"/>
          <w:szCs w:val="20"/>
        </w:rPr>
        <w:t>między krajami członkowskimi</w:t>
      </w:r>
      <w:r w:rsidR="0014523D" w:rsidRPr="009524E5">
        <w:rPr>
          <w:rFonts w:ascii="Times New Roman" w:hAnsi="Times New Roman" w:cs="Times New Roman"/>
          <w:color w:val="000000"/>
          <w:sz w:val="20"/>
          <w:szCs w:val="20"/>
        </w:rPr>
        <w:t xml:space="preserve">. </w:t>
      </w:r>
      <w:r w:rsidRPr="009524E5">
        <w:rPr>
          <w:rFonts w:ascii="Times New Roman" w:hAnsi="Times New Roman" w:cs="Times New Roman"/>
          <w:color w:val="000000"/>
          <w:sz w:val="20"/>
          <w:szCs w:val="20"/>
        </w:rPr>
        <w:t xml:space="preserve">Takie podejście uznał </w:t>
      </w:r>
      <w:r w:rsidR="0014523D" w:rsidRPr="009524E5">
        <w:rPr>
          <w:rFonts w:ascii="Times New Roman" w:hAnsi="Times New Roman" w:cs="Times New Roman"/>
          <w:color w:val="000000"/>
          <w:sz w:val="20"/>
          <w:szCs w:val="20"/>
        </w:rPr>
        <w:t xml:space="preserve">Tangerman za </w:t>
      </w:r>
      <w:r w:rsidR="002E3D5D" w:rsidRPr="009524E5">
        <w:rPr>
          <w:rFonts w:ascii="Times New Roman" w:hAnsi="Times New Roman" w:cs="Times New Roman"/>
          <w:color w:val="000000"/>
          <w:sz w:val="20"/>
          <w:szCs w:val="20"/>
        </w:rPr>
        <w:t xml:space="preserve">bardziej sprawiedliwy sposób </w:t>
      </w:r>
      <w:r w:rsidR="0014523D" w:rsidRPr="009524E5">
        <w:rPr>
          <w:rFonts w:ascii="Times New Roman" w:hAnsi="Times New Roman" w:cs="Times New Roman"/>
          <w:color w:val="000000"/>
          <w:sz w:val="20"/>
          <w:szCs w:val="20"/>
        </w:rPr>
        <w:t xml:space="preserve">dystrybucji funduszy WPR między krajami UE. </w:t>
      </w:r>
      <w:r w:rsidR="00C60F96" w:rsidRPr="009524E5">
        <w:rPr>
          <w:rFonts w:ascii="Times New Roman" w:hAnsi="Times New Roman" w:cs="Times New Roman"/>
          <w:color w:val="000000"/>
          <w:sz w:val="20"/>
          <w:szCs w:val="20"/>
        </w:rPr>
        <w:t>Ponadto, w</w:t>
      </w:r>
      <w:r w:rsidR="002E3D5D" w:rsidRPr="009524E5">
        <w:rPr>
          <w:rFonts w:ascii="Times New Roman" w:hAnsi="Times New Roman" w:cs="Times New Roman"/>
          <w:color w:val="000000"/>
          <w:sz w:val="20"/>
          <w:szCs w:val="20"/>
        </w:rPr>
        <w:t xml:space="preserve"> kontekście prognozowanego wcześniej trendu wzrostu cen</w:t>
      </w:r>
      <w:r w:rsidR="00C60F96" w:rsidRPr="009524E5">
        <w:rPr>
          <w:rFonts w:ascii="Times New Roman" w:hAnsi="Times New Roman" w:cs="Times New Roman"/>
          <w:color w:val="000000"/>
          <w:sz w:val="20"/>
          <w:szCs w:val="20"/>
        </w:rPr>
        <w:t xml:space="preserve"> produktów</w:t>
      </w:r>
      <w:r w:rsidR="002E3D5D" w:rsidRPr="009524E5">
        <w:rPr>
          <w:rFonts w:ascii="Times New Roman" w:hAnsi="Times New Roman" w:cs="Times New Roman"/>
          <w:color w:val="000000"/>
          <w:sz w:val="20"/>
          <w:szCs w:val="20"/>
        </w:rPr>
        <w:t xml:space="preserve"> rolnych, podtrzymywanie płatności bezpośrednich w proponowanym kształcie, jego zd</w:t>
      </w:r>
      <w:r w:rsidR="00525FA3" w:rsidRPr="009524E5">
        <w:rPr>
          <w:rFonts w:ascii="Times New Roman" w:hAnsi="Times New Roman" w:cs="Times New Roman"/>
          <w:color w:val="000000"/>
          <w:sz w:val="20"/>
          <w:szCs w:val="20"/>
        </w:rPr>
        <w:t xml:space="preserve">aniem, </w:t>
      </w:r>
      <w:r w:rsidR="008C2671" w:rsidRPr="009524E5">
        <w:rPr>
          <w:rFonts w:ascii="Times New Roman" w:hAnsi="Times New Roman" w:cs="Times New Roman"/>
          <w:color w:val="000000"/>
          <w:sz w:val="20"/>
          <w:szCs w:val="20"/>
        </w:rPr>
        <w:t xml:space="preserve">nie miało </w:t>
      </w:r>
      <w:r w:rsidR="00525FA3" w:rsidRPr="009524E5">
        <w:rPr>
          <w:rFonts w:ascii="Times New Roman" w:hAnsi="Times New Roman" w:cs="Times New Roman"/>
          <w:color w:val="000000"/>
          <w:sz w:val="20"/>
          <w:szCs w:val="20"/>
        </w:rPr>
        <w:t>uzasadnienia. Co więcej</w:t>
      </w:r>
      <w:r w:rsidR="008C2671" w:rsidRPr="009524E5">
        <w:rPr>
          <w:rFonts w:ascii="Times New Roman" w:hAnsi="Times New Roman" w:cs="Times New Roman"/>
          <w:color w:val="000000"/>
          <w:sz w:val="20"/>
          <w:szCs w:val="20"/>
        </w:rPr>
        <w:t>,</w:t>
      </w:r>
      <w:r w:rsidR="00525FA3" w:rsidRPr="009524E5">
        <w:rPr>
          <w:rFonts w:ascii="Times New Roman" w:hAnsi="Times New Roman" w:cs="Times New Roman"/>
          <w:color w:val="000000"/>
          <w:sz w:val="20"/>
          <w:szCs w:val="20"/>
        </w:rPr>
        <w:t xml:space="preserve"> argumentacja</w:t>
      </w:r>
      <w:r w:rsidR="002E3D5D" w:rsidRPr="009524E5">
        <w:rPr>
          <w:rFonts w:ascii="Times New Roman" w:hAnsi="Times New Roman" w:cs="Times New Roman"/>
          <w:color w:val="000000"/>
          <w:sz w:val="20"/>
          <w:szCs w:val="20"/>
        </w:rPr>
        <w:t xml:space="preserve"> opierając</w:t>
      </w:r>
      <w:r w:rsidR="008C2671" w:rsidRPr="009524E5">
        <w:rPr>
          <w:rFonts w:ascii="Times New Roman" w:hAnsi="Times New Roman" w:cs="Times New Roman"/>
          <w:color w:val="000000"/>
          <w:sz w:val="20"/>
          <w:szCs w:val="20"/>
        </w:rPr>
        <w:t>a</w:t>
      </w:r>
      <w:r w:rsidR="002E3D5D" w:rsidRPr="009524E5">
        <w:rPr>
          <w:rFonts w:ascii="Times New Roman" w:hAnsi="Times New Roman" w:cs="Times New Roman"/>
          <w:color w:val="000000"/>
          <w:sz w:val="20"/>
          <w:szCs w:val="20"/>
        </w:rPr>
        <w:t xml:space="preserve"> się na konieczności wzrostu produkcji celem wsparcia żywnościowego krajów rozwijających się </w:t>
      </w:r>
      <w:r w:rsidR="008C2671" w:rsidRPr="009524E5">
        <w:rPr>
          <w:rFonts w:ascii="Times New Roman" w:hAnsi="Times New Roman" w:cs="Times New Roman"/>
          <w:color w:val="000000"/>
          <w:sz w:val="20"/>
          <w:szCs w:val="20"/>
        </w:rPr>
        <w:t>była</w:t>
      </w:r>
      <w:r w:rsidR="00525FA3" w:rsidRPr="009524E5">
        <w:rPr>
          <w:rFonts w:ascii="Times New Roman" w:hAnsi="Times New Roman" w:cs="Times New Roman"/>
          <w:color w:val="000000"/>
          <w:sz w:val="20"/>
          <w:szCs w:val="20"/>
        </w:rPr>
        <w:t xml:space="preserve"> kontr</w:t>
      </w:r>
      <w:r w:rsidR="008C2671" w:rsidRPr="009524E5">
        <w:rPr>
          <w:rFonts w:ascii="Times New Roman" w:hAnsi="Times New Roman" w:cs="Times New Roman"/>
          <w:color w:val="000000"/>
          <w:sz w:val="20"/>
          <w:szCs w:val="20"/>
        </w:rPr>
        <w:t xml:space="preserve"> </w:t>
      </w:r>
      <w:r w:rsidR="00525FA3" w:rsidRPr="009524E5">
        <w:rPr>
          <w:rFonts w:ascii="Times New Roman" w:hAnsi="Times New Roman" w:cs="Times New Roman"/>
          <w:color w:val="000000"/>
          <w:sz w:val="20"/>
          <w:szCs w:val="20"/>
        </w:rPr>
        <w:t>produktywn</w:t>
      </w:r>
      <w:r w:rsidR="008C2671" w:rsidRPr="009524E5">
        <w:rPr>
          <w:rFonts w:ascii="Times New Roman" w:hAnsi="Times New Roman" w:cs="Times New Roman"/>
          <w:color w:val="000000"/>
          <w:sz w:val="20"/>
          <w:szCs w:val="20"/>
        </w:rPr>
        <w:t>a. W skutkach bowiem prowadziła do</w:t>
      </w:r>
      <w:r w:rsidR="00525FA3" w:rsidRPr="009524E5">
        <w:rPr>
          <w:rFonts w:ascii="Times New Roman" w:hAnsi="Times New Roman" w:cs="Times New Roman"/>
          <w:color w:val="000000"/>
          <w:sz w:val="20"/>
          <w:szCs w:val="20"/>
        </w:rPr>
        <w:t xml:space="preserve"> ogranicza</w:t>
      </w:r>
      <w:r w:rsidR="008C2671" w:rsidRPr="009524E5">
        <w:rPr>
          <w:rFonts w:ascii="Times New Roman" w:hAnsi="Times New Roman" w:cs="Times New Roman"/>
          <w:color w:val="000000"/>
          <w:sz w:val="20"/>
          <w:szCs w:val="20"/>
        </w:rPr>
        <w:t>nia</w:t>
      </w:r>
      <w:r w:rsidR="002E3D5D" w:rsidRPr="009524E5">
        <w:rPr>
          <w:rFonts w:ascii="Times New Roman" w:hAnsi="Times New Roman" w:cs="Times New Roman"/>
          <w:color w:val="000000"/>
          <w:sz w:val="20"/>
          <w:szCs w:val="20"/>
        </w:rPr>
        <w:t xml:space="preserve"> wzrost</w:t>
      </w:r>
      <w:r w:rsidR="008C2671" w:rsidRPr="009524E5">
        <w:rPr>
          <w:rFonts w:ascii="Times New Roman" w:hAnsi="Times New Roman" w:cs="Times New Roman"/>
          <w:color w:val="000000"/>
          <w:sz w:val="20"/>
          <w:szCs w:val="20"/>
        </w:rPr>
        <w:t>u</w:t>
      </w:r>
      <w:r w:rsidR="002E3D5D" w:rsidRPr="009524E5">
        <w:rPr>
          <w:rFonts w:ascii="Times New Roman" w:hAnsi="Times New Roman" w:cs="Times New Roman"/>
          <w:color w:val="000000"/>
          <w:sz w:val="20"/>
          <w:szCs w:val="20"/>
        </w:rPr>
        <w:t xml:space="preserve"> produkcji rolniczej w tych krajach.</w:t>
      </w:r>
    </w:p>
    <w:p w14:paraId="30CE5E88" w14:textId="716FE221" w:rsidR="002E3D5D" w:rsidRPr="00674FD8" w:rsidRDefault="004D06D9" w:rsidP="00674FD8">
      <w:pPr>
        <w:spacing w:before="120" w:after="120" w:line="240" w:lineRule="auto"/>
        <w:jc w:val="both"/>
        <w:outlineLvl w:val="7"/>
        <w:rPr>
          <w:rFonts w:ascii="Times New Roman" w:hAnsi="Times New Roman" w:cs="Times New Roman"/>
          <w:color w:val="000000"/>
          <w:sz w:val="20"/>
          <w:szCs w:val="20"/>
        </w:rPr>
      </w:pPr>
      <w:r w:rsidRPr="00674FD8">
        <w:rPr>
          <w:rFonts w:ascii="Times New Roman" w:hAnsi="Times New Roman" w:cs="Times New Roman"/>
          <w:color w:val="000000"/>
          <w:sz w:val="20"/>
          <w:szCs w:val="20"/>
        </w:rPr>
        <w:lastRenderedPageBreak/>
        <w:t xml:space="preserve">Dane rachunkowe </w:t>
      </w:r>
      <w:r w:rsidR="00674FD8" w:rsidRPr="00674FD8">
        <w:rPr>
          <w:rFonts w:ascii="Times New Roman" w:hAnsi="Times New Roman" w:cs="Times New Roman"/>
          <w:color w:val="000000"/>
          <w:sz w:val="20"/>
          <w:szCs w:val="20"/>
        </w:rPr>
        <w:t xml:space="preserve">unijnego </w:t>
      </w:r>
      <w:r w:rsidRPr="00674FD8">
        <w:rPr>
          <w:rFonts w:ascii="Times New Roman" w:hAnsi="Times New Roman" w:cs="Times New Roman"/>
          <w:color w:val="000000"/>
          <w:sz w:val="20"/>
          <w:szCs w:val="20"/>
        </w:rPr>
        <w:t>FADN potwierdzają, że u</w:t>
      </w:r>
      <w:r w:rsidR="002E3D5D" w:rsidRPr="00674FD8">
        <w:rPr>
          <w:rFonts w:ascii="Times New Roman" w:hAnsi="Times New Roman" w:cs="Times New Roman"/>
          <w:color w:val="000000"/>
          <w:sz w:val="20"/>
          <w:szCs w:val="20"/>
        </w:rPr>
        <w:t>zasadnienie kontynuacji systemu płatności bezpośrednich jako narzędzia</w:t>
      </w:r>
      <w:r w:rsidRPr="00674FD8">
        <w:rPr>
          <w:rFonts w:ascii="Times New Roman" w:hAnsi="Times New Roman" w:cs="Times New Roman"/>
          <w:color w:val="000000"/>
          <w:sz w:val="20"/>
          <w:szCs w:val="20"/>
        </w:rPr>
        <w:t xml:space="preserve"> podtrzymywania konkurencyjnośc</w:t>
      </w:r>
      <w:r w:rsidR="008C2671" w:rsidRPr="00674FD8">
        <w:rPr>
          <w:rFonts w:ascii="Times New Roman" w:hAnsi="Times New Roman" w:cs="Times New Roman"/>
          <w:color w:val="000000"/>
          <w:sz w:val="20"/>
          <w:szCs w:val="20"/>
        </w:rPr>
        <w:t>i</w:t>
      </w:r>
      <w:r w:rsidR="002E3D5D" w:rsidRPr="00674FD8">
        <w:rPr>
          <w:rFonts w:ascii="Times New Roman" w:hAnsi="Times New Roman" w:cs="Times New Roman"/>
          <w:color w:val="000000"/>
          <w:sz w:val="20"/>
          <w:szCs w:val="20"/>
        </w:rPr>
        <w:t xml:space="preserve">, nie wytrzymuje krytyki, gdyż prowadzi do silnego uzależnienia rolników od pomocy </w:t>
      </w:r>
      <w:r w:rsidR="002E3D5D" w:rsidRPr="00674FD8">
        <w:rPr>
          <w:rFonts w:ascii="Times New Roman" w:hAnsi="Times New Roman" w:cs="Times New Roman"/>
          <w:sz w:val="20"/>
          <w:szCs w:val="20"/>
        </w:rPr>
        <w:t>publicznej zastępując tym sposobem rynkowe mechanizmy wyzwalające impulsy pro efektywnościowe</w:t>
      </w:r>
      <w:r w:rsidR="00674FD8" w:rsidRPr="00674FD8">
        <w:rPr>
          <w:rFonts w:ascii="Times New Roman" w:hAnsi="Times New Roman" w:cs="Times New Roman"/>
          <w:sz w:val="20"/>
          <w:szCs w:val="20"/>
        </w:rPr>
        <w:t xml:space="preserve"> </w:t>
      </w:r>
      <w:r w:rsidR="00674FD8">
        <w:rPr>
          <w:rFonts w:ascii="Times New Roman" w:hAnsi="Times New Roman" w:cs="Times New Roman"/>
          <w:sz w:val="20"/>
          <w:szCs w:val="20"/>
        </w:rPr>
        <w:t>[</w:t>
      </w:r>
      <w:r w:rsidR="00674FD8" w:rsidRPr="00674FD8">
        <w:rPr>
          <w:rFonts w:ascii="Times New Roman" w:hAnsi="Times New Roman" w:cs="Times New Roman"/>
          <w:sz w:val="20"/>
          <w:szCs w:val="20"/>
        </w:rPr>
        <w:t>Matthews</w:t>
      </w:r>
      <w:r w:rsidR="00674FD8">
        <w:rPr>
          <w:rFonts w:ascii="Times New Roman" w:hAnsi="Times New Roman" w:cs="Times New Roman"/>
          <w:sz w:val="20"/>
          <w:szCs w:val="20"/>
        </w:rPr>
        <w:t xml:space="preserve">, 2016]. </w:t>
      </w:r>
      <w:r w:rsidR="00674FD8" w:rsidRPr="00674FD8">
        <w:rPr>
          <w:rFonts w:ascii="Times New Roman" w:hAnsi="Times New Roman" w:cs="Times New Roman"/>
          <w:sz w:val="20"/>
          <w:szCs w:val="20"/>
          <w:highlight w:val="green"/>
        </w:rPr>
        <w:t xml:space="preserve"> </w:t>
      </w:r>
    </w:p>
    <w:p w14:paraId="780D516F" w14:textId="5A0C438B" w:rsidR="002E3D5D" w:rsidRPr="009524E5" w:rsidRDefault="00BD659C" w:rsidP="00674FD8">
      <w:pPr>
        <w:spacing w:before="120" w:after="120" w:line="240" w:lineRule="auto"/>
        <w:jc w:val="both"/>
        <w:outlineLvl w:val="7"/>
        <w:rPr>
          <w:rFonts w:ascii="Times New Roman" w:hAnsi="Times New Roman" w:cs="Times New Roman"/>
          <w:sz w:val="20"/>
          <w:szCs w:val="20"/>
        </w:rPr>
      </w:pPr>
      <w:r w:rsidRPr="009524E5">
        <w:rPr>
          <w:rFonts w:ascii="Times New Roman" w:hAnsi="Times New Roman" w:cs="Times New Roman"/>
          <w:sz w:val="20"/>
          <w:szCs w:val="20"/>
        </w:rPr>
        <w:t>Obowiązujący s</w:t>
      </w:r>
      <w:r w:rsidR="002E3D5D" w:rsidRPr="009524E5">
        <w:rPr>
          <w:rFonts w:ascii="Times New Roman" w:hAnsi="Times New Roman" w:cs="Times New Roman"/>
          <w:sz w:val="20"/>
          <w:szCs w:val="20"/>
        </w:rPr>
        <w:t>ystem płatności</w:t>
      </w:r>
      <w:r w:rsidRPr="009524E5">
        <w:rPr>
          <w:rFonts w:ascii="Times New Roman" w:hAnsi="Times New Roman" w:cs="Times New Roman"/>
          <w:sz w:val="20"/>
          <w:szCs w:val="20"/>
        </w:rPr>
        <w:t xml:space="preserve"> bezpośrednich</w:t>
      </w:r>
      <w:r w:rsidR="002E3D5D" w:rsidRPr="009524E5">
        <w:rPr>
          <w:rFonts w:ascii="Times New Roman" w:hAnsi="Times New Roman" w:cs="Times New Roman"/>
          <w:sz w:val="20"/>
          <w:szCs w:val="20"/>
        </w:rPr>
        <w:t>, jako podstawow</w:t>
      </w:r>
      <w:r w:rsidRPr="009524E5">
        <w:rPr>
          <w:rFonts w:ascii="Times New Roman" w:hAnsi="Times New Roman" w:cs="Times New Roman"/>
          <w:sz w:val="20"/>
          <w:szCs w:val="20"/>
        </w:rPr>
        <w:t>y</w:t>
      </w:r>
      <w:r w:rsidR="002E3D5D" w:rsidRPr="009524E5">
        <w:rPr>
          <w:rFonts w:ascii="Times New Roman" w:hAnsi="Times New Roman" w:cs="Times New Roman"/>
          <w:sz w:val="20"/>
          <w:szCs w:val="20"/>
        </w:rPr>
        <w:t xml:space="preserve"> i trwał</w:t>
      </w:r>
      <w:r w:rsidRPr="009524E5">
        <w:rPr>
          <w:rFonts w:ascii="Times New Roman" w:hAnsi="Times New Roman" w:cs="Times New Roman"/>
          <w:sz w:val="20"/>
          <w:szCs w:val="20"/>
        </w:rPr>
        <w:t>y instrument</w:t>
      </w:r>
      <w:r w:rsidR="002E3D5D" w:rsidRPr="009524E5">
        <w:rPr>
          <w:rFonts w:ascii="Times New Roman" w:hAnsi="Times New Roman" w:cs="Times New Roman"/>
          <w:sz w:val="20"/>
          <w:szCs w:val="20"/>
        </w:rPr>
        <w:t xml:space="preserve"> WPR</w:t>
      </w:r>
      <w:r w:rsidRPr="009524E5">
        <w:rPr>
          <w:rFonts w:ascii="Times New Roman" w:hAnsi="Times New Roman" w:cs="Times New Roman"/>
          <w:sz w:val="20"/>
          <w:szCs w:val="20"/>
        </w:rPr>
        <w:t xml:space="preserve">, nie wytrzymuje krytyki w świetle </w:t>
      </w:r>
      <w:r w:rsidR="002E3D5D" w:rsidRPr="009524E5">
        <w:rPr>
          <w:rFonts w:ascii="Times New Roman" w:hAnsi="Times New Roman" w:cs="Times New Roman"/>
          <w:sz w:val="20"/>
          <w:szCs w:val="20"/>
        </w:rPr>
        <w:t>racjonaln</w:t>
      </w:r>
      <w:r w:rsidRPr="009524E5">
        <w:rPr>
          <w:rFonts w:ascii="Times New Roman" w:hAnsi="Times New Roman" w:cs="Times New Roman"/>
          <w:sz w:val="20"/>
          <w:szCs w:val="20"/>
        </w:rPr>
        <w:t xml:space="preserve">ego uzasadnienia </w:t>
      </w:r>
      <w:r w:rsidR="002E3D5D" w:rsidRPr="009524E5">
        <w:rPr>
          <w:rFonts w:ascii="Times New Roman" w:hAnsi="Times New Roman" w:cs="Times New Roman"/>
          <w:sz w:val="20"/>
          <w:szCs w:val="20"/>
        </w:rPr>
        <w:t>celu reformy Mac Sharry’ego</w:t>
      </w:r>
      <w:r w:rsidR="00292719" w:rsidRPr="009524E5">
        <w:rPr>
          <w:rFonts w:ascii="Times New Roman" w:hAnsi="Times New Roman" w:cs="Times New Roman"/>
          <w:sz w:val="20"/>
          <w:szCs w:val="20"/>
        </w:rPr>
        <w:t xml:space="preserve"> i interesów unijnych podatników</w:t>
      </w:r>
      <w:r w:rsidR="002E3D5D" w:rsidRPr="009524E5">
        <w:rPr>
          <w:rFonts w:ascii="Times New Roman" w:hAnsi="Times New Roman" w:cs="Times New Roman"/>
          <w:sz w:val="20"/>
          <w:szCs w:val="20"/>
        </w:rPr>
        <w:t xml:space="preserve">. Rolnicy mieli bowiem </w:t>
      </w:r>
      <w:r w:rsidR="00674FD8">
        <w:rPr>
          <w:rFonts w:ascii="Times New Roman" w:hAnsi="Times New Roman" w:cs="Times New Roman"/>
          <w:sz w:val="20"/>
          <w:szCs w:val="20"/>
        </w:rPr>
        <w:t>ponad</w:t>
      </w:r>
      <w:r w:rsidR="002E3D5D" w:rsidRPr="009524E5">
        <w:rPr>
          <w:rFonts w:ascii="Times New Roman" w:hAnsi="Times New Roman" w:cs="Times New Roman"/>
          <w:sz w:val="20"/>
          <w:szCs w:val="20"/>
        </w:rPr>
        <w:t xml:space="preserve"> 15 lat na dostosowanie się do zmian sytuacji rynkowej i dalsze stosowanie kompensacji z tytułu obniżki cen gwarantowanych po tak długim okresie czasu nie powinno mieć już miejsca.</w:t>
      </w:r>
    </w:p>
    <w:p w14:paraId="5C6FB068" w14:textId="0706F7C1" w:rsidR="00674FD8" w:rsidRDefault="002E3D5D" w:rsidP="00674FD8">
      <w:pPr>
        <w:pStyle w:val="FootnoteText"/>
        <w:jc w:val="both"/>
        <w:rPr>
          <w:rFonts w:ascii="Times New Roman" w:hAnsi="Times New Roman" w:cs="Times New Roman"/>
          <w:sz w:val="16"/>
          <w:szCs w:val="16"/>
        </w:rPr>
      </w:pPr>
      <w:r w:rsidRPr="009524E5">
        <w:rPr>
          <w:rFonts w:ascii="Times New Roman" w:hAnsi="Times New Roman" w:cs="Times New Roman"/>
        </w:rPr>
        <w:t xml:space="preserve">Krytyka </w:t>
      </w:r>
      <w:r w:rsidR="00346C8B" w:rsidRPr="009524E5">
        <w:rPr>
          <w:rFonts w:ascii="Times New Roman" w:hAnsi="Times New Roman" w:cs="Times New Roman"/>
        </w:rPr>
        <w:t xml:space="preserve">WPR </w:t>
      </w:r>
      <w:r w:rsidRPr="009524E5">
        <w:rPr>
          <w:rFonts w:ascii="Times New Roman" w:hAnsi="Times New Roman" w:cs="Times New Roman"/>
        </w:rPr>
        <w:t xml:space="preserve">odnosi się także do dokonywania porównań dochodu uzyskiwanego przez rolników liczonego na AWU w relacji do innych działów gospodarki, wykorzystywanych do uzasadniania kontynuacji tego typu płatności. Rachunek taki nie uwzględnia dochodów spoza gospodarstwa i nie może być podstawą do legitymizowania takiej polityki. Jako wątły argument </w:t>
      </w:r>
      <w:r w:rsidR="00346C8B" w:rsidRPr="009524E5">
        <w:rPr>
          <w:rFonts w:ascii="Times New Roman" w:hAnsi="Times New Roman" w:cs="Times New Roman"/>
        </w:rPr>
        <w:t xml:space="preserve">należy uznać </w:t>
      </w:r>
      <w:r w:rsidRPr="009524E5">
        <w:rPr>
          <w:rFonts w:ascii="Times New Roman" w:hAnsi="Times New Roman" w:cs="Times New Roman"/>
        </w:rPr>
        <w:t>uzasadnienie, wskazujące na płatności bezpośrednie jako pewnego rodzaju zachętę skłaniająca rolników do podejmowania działań w cel</w:t>
      </w:r>
      <w:r w:rsidR="00674FD8">
        <w:rPr>
          <w:rFonts w:ascii="Times New Roman" w:hAnsi="Times New Roman" w:cs="Times New Roman"/>
        </w:rPr>
        <w:t xml:space="preserve">u </w:t>
      </w:r>
      <w:r w:rsidR="00674FD8" w:rsidRPr="00674FD8">
        <w:rPr>
          <w:rFonts w:ascii="Times New Roman" w:hAnsi="Times New Roman" w:cs="Times New Roman"/>
        </w:rPr>
        <w:t>dostarczania dóbr publicznych [</w:t>
      </w:r>
      <w:r w:rsidR="00674FD8" w:rsidRPr="00674FD8">
        <w:rPr>
          <w:rFonts w:ascii="Times New Roman" w:hAnsi="Times New Roman" w:cs="Times New Roman"/>
          <w:sz w:val="16"/>
          <w:szCs w:val="16"/>
        </w:rPr>
        <w:t>Buckwell et al</w:t>
      </w:r>
      <w:r w:rsidR="00674FD8">
        <w:rPr>
          <w:rFonts w:ascii="Times New Roman" w:hAnsi="Times New Roman" w:cs="Times New Roman"/>
          <w:sz w:val="16"/>
          <w:szCs w:val="16"/>
        </w:rPr>
        <w:t xml:space="preserve"> </w:t>
      </w:r>
      <w:r w:rsidR="00674FD8" w:rsidRPr="00674FD8">
        <w:rPr>
          <w:rFonts w:ascii="Times New Roman" w:hAnsi="Times New Roman" w:cs="Times New Roman"/>
          <w:sz w:val="16"/>
          <w:szCs w:val="16"/>
        </w:rPr>
        <w:t>2017].</w:t>
      </w:r>
    </w:p>
    <w:p w14:paraId="315B5F9C" w14:textId="77777777" w:rsidR="00674FD8" w:rsidRDefault="00674FD8" w:rsidP="00674FD8">
      <w:pPr>
        <w:pStyle w:val="FootnoteText"/>
        <w:jc w:val="both"/>
        <w:rPr>
          <w:rFonts w:ascii="Times New Roman" w:hAnsi="Times New Roman" w:cs="Times New Roman"/>
          <w:sz w:val="16"/>
          <w:szCs w:val="16"/>
        </w:rPr>
      </w:pPr>
    </w:p>
    <w:p w14:paraId="15109294" w14:textId="4729F622" w:rsidR="003116DB" w:rsidRPr="009524E5" w:rsidRDefault="003116DB" w:rsidP="00674FD8">
      <w:pPr>
        <w:pStyle w:val="FootnoteText"/>
        <w:jc w:val="both"/>
        <w:rPr>
          <w:rFonts w:ascii="Times New Roman" w:eastAsia="Calibri" w:hAnsi="Times New Roman" w:cs="Times New Roman"/>
        </w:rPr>
      </w:pPr>
      <w:r w:rsidRPr="009524E5">
        <w:rPr>
          <w:rFonts w:ascii="Times New Roman" w:eastAsia="Calibri" w:hAnsi="Times New Roman" w:cs="Times New Roman"/>
        </w:rPr>
        <w:t>Reforma WPR</w:t>
      </w:r>
      <w:r w:rsidR="00787C25" w:rsidRPr="009524E5">
        <w:rPr>
          <w:rFonts w:ascii="Times New Roman" w:eastAsia="Calibri" w:hAnsi="Times New Roman" w:cs="Times New Roman"/>
        </w:rPr>
        <w:t xml:space="preserve"> zaproponowana </w:t>
      </w:r>
      <w:r w:rsidR="00346C8B" w:rsidRPr="009524E5">
        <w:rPr>
          <w:rFonts w:ascii="Times New Roman" w:eastAsia="Calibri" w:hAnsi="Times New Roman" w:cs="Times New Roman"/>
        </w:rPr>
        <w:t xml:space="preserve">przez KE </w:t>
      </w:r>
      <w:r w:rsidR="00787C25" w:rsidRPr="009524E5">
        <w:rPr>
          <w:rFonts w:ascii="Times New Roman" w:eastAsia="Calibri" w:hAnsi="Times New Roman" w:cs="Times New Roman"/>
        </w:rPr>
        <w:t>w</w:t>
      </w:r>
      <w:r w:rsidRPr="009524E5">
        <w:rPr>
          <w:rFonts w:ascii="Times New Roman" w:eastAsia="Calibri" w:hAnsi="Times New Roman" w:cs="Times New Roman"/>
        </w:rPr>
        <w:t xml:space="preserve"> 2013 r. z założenia kontynuowała kierunek zmian wyznaczony reformą luksemburską, polegający na uniezależnianiu wsparcia od produkcji i powiązaniu go z obowiązkiem wykonywania przez rolników określonych działań na rzecz ochrony środowiska. Jak wykazały pierwsze lata realizacji reformy, część z zawartych w jej pakiecie instrumentów ma negatywny wpływ nie tylko na poziom dochodów gospodarstw, lecz także na zmniejszenie skali produkcji rolniczej w </w:t>
      </w:r>
      <w:r w:rsidR="00BD42AC" w:rsidRPr="009524E5">
        <w:rPr>
          <w:rFonts w:ascii="Times New Roman" w:eastAsia="Calibri" w:hAnsi="Times New Roman" w:cs="Times New Roman"/>
        </w:rPr>
        <w:t>U</w:t>
      </w:r>
      <w:r w:rsidRPr="009524E5">
        <w:rPr>
          <w:rFonts w:ascii="Times New Roman" w:eastAsia="Calibri" w:hAnsi="Times New Roman" w:cs="Times New Roman"/>
        </w:rPr>
        <w:t>E i wynikające z tego implikacje zarówno sektorowe</w:t>
      </w:r>
      <w:r w:rsidR="00674FD8">
        <w:rPr>
          <w:rFonts w:ascii="Times New Roman" w:eastAsia="Calibri" w:hAnsi="Times New Roman" w:cs="Times New Roman"/>
        </w:rPr>
        <w:t>,</w:t>
      </w:r>
      <w:r w:rsidRPr="009524E5">
        <w:rPr>
          <w:rFonts w:ascii="Times New Roman" w:eastAsia="Calibri" w:hAnsi="Times New Roman" w:cs="Times New Roman"/>
        </w:rPr>
        <w:t xml:space="preserve"> jak i makroekonomiczne. </w:t>
      </w:r>
      <w:r w:rsidR="00787C25" w:rsidRPr="009524E5">
        <w:rPr>
          <w:rFonts w:ascii="Times New Roman" w:eastAsia="Calibri" w:hAnsi="Times New Roman" w:cs="Times New Roman"/>
        </w:rPr>
        <w:t>Główne ostrze krytyki jest skierowane na tzw. zazielenienie</w:t>
      </w:r>
      <w:r w:rsidRPr="009524E5">
        <w:rPr>
          <w:rStyle w:val="FootnoteReference"/>
          <w:rFonts w:ascii="Times New Roman" w:eastAsia="Calibri" w:hAnsi="Times New Roman" w:cs="Times New Roman"/>
        </w:rPr>
        <w:footnoteReference w:id="7"/>
      </w:r>
      <w:r w:rsidRPr="009524E5">
        <w:rPr>
          <w:rFonts w:ascii="Times New Roman" w:eastAsia="Calibri" w:hAnsi="Times New Roman" w:cs="Times New Roman"/>
        </w:rPr>
        <w:t xml:space="preserve"> (ang. </w:t>
      </w:r>
      <w:r w:rsidR="00674FD8">
        <w:rPr>
          <w:rFonts w:ascii="Times New Roman" w:eastAsia="Calibri" w:hAnsi="Times New Roman" w:cs="Times New Roman"/>
        </w:rPr>
        <w:t>g</w:t>
      </w:r>
      <w:r w:rsidRPr="009524E5">
        <w:rPr>
          <w:rFonts w:ascii="Times New Roman" w:eastAsia="Calibri" w:hAnsi="Times New Roman" w:cs="Times New Roman"/>
          <w:i/>
        </w:rPr>
        <w:t>reening)</w:t>
      </w:r>
      <w:r w:rsidR="00787C25" w:rsidRPr="009524E5">
        <w:rPr>
          <w:rFonts w:ascii="Times New Roman" w:eastAsia="Calibri" w:hAnsi="Times New Roman" w:cs="Times New Roman"/>
        </w:rPr>
        <w:t xml:space="preserve">, </w:t>
      </w:r>
      <w:r w:rsidRPr="009524E5">
        <w:rPr>
          <w:rFonts w:ascii="Times New Roman" w:eastAsia="Calibri" w:hAnsi="Times New Roman" w:cs="Times New Roman"/>
        </w:rPr>
        <w:t xml:space="preserve">w tym </w:t>
      </w:r>
      <w:r w:rsidR="00787C25" w:rsidRPr="009524E5">
        <w:rPr>
          <w:rFonts w:ascii="Times New Roman" w:eastAsia="Calibri" w:hAnsi="Times New Roman" w:cs="Times New Roman"/>
        </w:rPr>
        <w:t xml:space="preserve">kontrowersyjny </w:t>
      </w:r>
      <w:r w:rsidRPr="009524E5">
        <w:rPr>
          <w:rFonts w:ascii="Times New Roman" w:eastAsia="Calibri" w:hAnsi="Times New Roman" w:cs="Times New Roman"/>
        </w:rPr>
        <w:t xml:space="preserve">obowiązek wyłączenia części gruntów ornych z produkcji rolniczej i przeznaczenia ich na cele ekologiczne (tzw. </w:t>
      </w:r>
      <w:r w:rsidRPr="009524E5">
        <w:rPr>
          <w:rFonts w:ascii="Times New Roman" w:eastAsia="Calibri" w:hAnsi="Times New Roman" w:cs="Times New Roman"/>
          <w:i/>
        </w:rPr>
        <w:t>Ecological Focus Area</w:t>
      </w:r>
      <w:r w:rsidRPr="009524E5">
        <w:rPr>
          <w:rFonts w:ascii="Times New Roman" w:eastAsia="Calibri" w:hAnsi="Times New Roman" w:cs="Times New Roman"/>
        </w:rPr>
        <w:t>). Jak dotychczas zazielenienie zbierało negatywne oceny i nie przyniosło oczekiwanych skutków prośrodowiskowych, natomiast spowodowało znaczne zwiększenie obciążeń administracyjnych i kosztów transakcyjnych tak po stronie beneficjentów systemu płatności bezpośrednich, jak i administracji</w:t>
      </w:r>
      <w:r w:rsidR="00BF6E68" w:rsidRPr="009524E5">
        <w:rPr>
          <w:rFonts w:ascii="Times New Roman" w:eastAsia="Calibri" w:hAnsi="Times New Roman" w:cs="Times New Roman"/>
        </w:rPr>
        <w:t xml:space="preserve"> rolnej</w:t>
      </w:r>
      <w:r w:rsidRPr="009524E5">
        <w:rPr>
          <w:rFonts w:ascii="Times New Roman" w:eastAsia="Calibri" w:hAnsi="Times New Roman" w:cs="Times New Roman"/>
        </w:rPr>
        <w:t>.</w:t>
      </w:r>
    </w:p>
    <w:p w14:paraId="05731EEC" w14:textId="5072E3F5" w:rsidR="002E3D5D" w:rsidRDefault="00787C25" w:rsidP="00674FD8">
      <w:pPr>
        <w:spacing w:before="120" w:after="120" w:line="240" w:lineRule="auto"/>
        <w:jc w:val="both"/>
        <w:rPr>
          <w:rFonts w:ascii="Times New Roman" w:hAnsi="Times New Roman" w:cs="Times New Roman"/>
          <w:sz w:val="20"/>
          <w:szCs w:val="20"/>
        </w:rPr>
      </w:pPr>
      <w:r w:rsidRPr="009524E5">
        <w:rPr>
          <w:rFonts w:ascii="Times New Roman" w:hAnsi="Times New Roman" w:cs="Times New Roman"/>
          <w:sz w:val="20"/>
          <w:szCs w:val="20"/>
        </w:rPr>
        <w:t>Warto także wskazać, że p</w:t>
      </w:r>
      <w:r w:rsidR="002E3D5D" w:rsidRPr="009524E5">
        <w:rPr>
          <w:rFonts w:ascii="Times New Roman" w:hAnsi="Times New Roman" w:cs="Times New Roman"/>
          <w:sz w:val="20"/>
          <w:szCs w:val="20"/>
        </w:rPr>
        <w:t xml:space="preserve">owstały po 2013 r. w wyniku negocjacji w tzw. </w:t>
      </w:r>
      <w:r w:rsidR="007F7ED7" w:rsidRPr="009524E5">
        <w:rPr>
          <w:rFonts w:ascii="Times New Roman" w:hAnsi="Times New Roman" w:cs="Times New Roman"/>
          <w:sz w:val="20"/>
          <w:szCs w:val="20"/>
        </w:rPr>
        <w:t>T</w:t>
      </w:r>
      <w:r w:rsidR="002E3D5D" w:rsidRPr="009524E5">
        <w:rPr>
          <w:rFonts w:ascii="Times New Roman" w:hAnsi="Times New Roman" w:cs="Times New Roman"/>
          <w:sz w:val="20"/>
          <w:szCs w:val="20"/>
        </w:rPr>
        <w:t>rilogu</w:t>
      </w:r>
      <w:r w:rsidR="007F7ED7" w:rsidRPr="009524E5">
        <w:rPr>
          <w:rStyle w:val="FootnoteReference"/>
          <w:rFonts w:ascii="Times New Roman" w:hAnsi="Times New Roman" w:cs="Times New Roman"/>
          <w:sz w:val="20"/>
          <w:szCs w:val="20"/>
        </w:rPr>
        <w:footnoteReference w:id="8"/>
      </w:r>
      <w:r w:rsidR="002E3D5D" w:rsidRPr="009524E5">
        <w:rPr>
          <w:rFonts w:ascii="Times New Roman" w:hAnsi="Times New Roman" w:cs="Times New Roman"/>
          <w:sz w:val="20"/>
          <w:szCs w:val="20"/>
        </w:rPr>
        <w:t xml:space="preserve"> ostateczny kształt regulacji</w:t>
      </w:r>
      <w:r w:rsidRPr="009524E5">
        <w:rPr>
          <w:rFonts w:ascii="Times New Roman" w:hAnsi="Times New Roman" w:cs="Times New Roman"/>
          <w:sz w:val="20"/>
          <w:szCs w:val="20"/>
        </w:rPr>
        <w:t xml:space="preserve"> dot</w:t>
      </w:r>
      <w:r w:rsidR="007F7ED7" w:rsidRPr="009524E5">
        <w:rPr>
          <w:rFonts w:ascii="Times New Roman" w:hAnsi="Times New Roman" w:cs="Times New Roman"/>
          <w:sz w:val="20"/>
          <w:szCs w:val="20"/>
        </w:rPr>
        <w:t>yczący</w:t>
      </w:r>
      <w:r w:rsidRPr="009524E5">
        <w:rPr>
          <w:rFonts w:ascii="Times New Roman" w:hAnsi="Times New Roman" w:cs="Times New Roman"/>
          <w:sz w:val="20"/>
          <w:szCs w:val="20"/>
        </w:rPr>
        <w:t xml:space="preserve"> zazielenienia</w:t>
      </w:r>
      <w:r w:rsidR="002E3D5D" w:rsidRPr="009524E5">
        <w:rPr>
          <w:rFonts w:ascii="Times New Roman" w:hAnsi="Times New Roman" w:cs="Times New Roman"/>
          <w:sz w:val="20"/>
          <w:szCs w:val="20"/>
        </w:rPr>
        <w:t xml:space="preserve"> był mniej ambitny niż pierwotn</w:t>
      </w:r>
      <w:r w:rsidR="007F7ED7" w:rsidRPr="009524E5">
        <w:rPr>
          <w:rFonts w:ascii="Times New Roman" w:hAnsi="Times New Roman" w:cs="Times New Roman"/>
          <w:sz w:val="20"/>
          <w:szCs w:val="20"/>
        </w:rPr>
        <w:t>i</w:t>
      </w:r>
      <w:r w:rsidR="002E3D5D" w:rsidRPr="009524E5">
        <w:rPr>
          <w:rFonts w:ascii="Times New Roman" w:hAnsi="Times New Roman" w:cs="Times New Roman"/>
          <w:sz w:val="20"/>
          <w:szCs w:val="20"/>
        </w:rPr>
        <w:t>e założ</w:t>
      </w:r>
      <w:r w:rsidR="007F7ED7" w:rsidRPr="009524E5">
        <w:rPr>
          <w:rFonts w:ascii="Times New Roman" w:hAnsi="Times New Roman" w:cs="Times New Roman"/>
          <w:sz w:val="20"/>
          <w:szCs w:val="20"/>
        </w:rPr>
        <w:t>ono</w:t>
      </w:r>
      <w:r w:rsidR="002E3D5D" w:rsidRPr="009524E5">
        <w:rPr>
          <w:rFonts w:ascii="Times New Roman" w:hAnsi="Times New Roman" w:cs="Times New Roman"/>
          <w:sz w:val="20"/>
          <w:szCs w:val="20"/>
        </w:rPr>
        <w:t xml:space="preserve">. Sprawiło to np., że </w:t>
      </w:r>
      <w:r w:rsidR="007F7ED7" w:rsidRPr="009524E5">
        <w:rPr>
          <w:rFonts w:ascii="Times New Roman" w:hAnsi="Times New Roman" w:cs="Times New Roman"/>
          <w:sz w:val="20"/>
          <w:szCs w:val="20"/>
        </w:rPr>
        <w:t xml:space="preserve">w Polsce </w:t>
      </w:r>
      <w:r w:rsidR="002E3D5D" w:rsidRPr="009524E5">
        <w:rPr>
          <w:rFonts w:ascii="Times New Roman" w:hAnsi="Times New Roman" w:cs="Times New Roman"/>
          <w:sz w:val="20"/>
          <w:szCs w:val="20"/>
        </w:rPr>
        <w:t>duża część gospodarstw została wyłączona z obowiązku zazielenienia. Oznacza to, że gospodarstwa te nie wypełniały założeń definicyjnych legitymizujących płatności bezpośrednie, otrzymując wsparcie raczej o charakterze socjalnym</w:t>
      </w:r>
      <w:r w:rsidR="002E3D5D" w:rsidRPr="009524E5">
        <w:rPr>
          <w:rStyle w:val="FootnoteReference"/>
          <w:rFonts w:ascii="Times New Roman" w:hAnsi="Times New Roman" w:cs="Times New Roman"/>
          <w:sz w:val="20"/>
          <w:szCs w:val="20"/>
        </w:rPr>
        <w:footnoteReference w:id="9"/>
      </w:r>
      <w:r w:rsidR="002E3D5D" w:rsidRPr="009524E5">
        <w:rPr>
          <w:rFonts w:ascii="Times New Roman" w:hAnsi="Times New Roman" w:cs="Times New Roman"/>
          <w:sz w:val="20"/>
          <w:szCs w:val="20"/>
        </w:rPr>
        <w:t>.</w:t>
      </w:r>
      <w:r w:rsidR="00A65BB2" w:rsidRPr="009524E5">
        <w:rPr>
          <w:rFonts w:ascii="Times New Roman" w:hAnsi="Times New Roman" w:cs="Times New Roman"/>
          <w:sz w:val="20"/>
          <w:szCs w:val="20"/>
        </w:rPr>
        <w:t xml:space="preserve"> </w:t>
      </w:r>
      <w:r w:rsidR="002E3D5D" w:rsidRPr="009524E5">
        <w:rPr>
          <w:rFonts w:ascii="Times New Roman" w:hAnsi="Times New Roman" w:cs="Times New Roman"/>
          <w:sz w:val="20"/>
          <w:szCs w:val="20"/>
        </w:rPr>
        <w:t xml:space="preserve">Podobny wniosek można sformułować odnośnie tej części gospodarstw, które mogłyby być żywotne </w:t>
      </w:r>
      <w:r w:rsidRPr="009524E5">
        <w:rPr>
          <w:rFonts w:ascii="Times New Roman" w:hAnsi="Times New Roman" w:cs="Times New Roman"/>
          <w:sz w:val="20"/>
          <w:szCs w:val="20"/>
        </w:rPr>
        <w:t xml:space="preserve">ekonomicznie </w:t>
      </w:r>
      <w:r w:rsidR="002E3D5D" w:rsidRPr="009524E5">
        <w:rPr>
          <w:rFonts w:ascii="Times New Roman" w:hAnsi="Times New Roman" w:cs="Times New Roman"/>
          <w:sz w:val="20"/>
          <w:szCs w:val="20"/>
        </w:rPr>
        <w:t xml:space="preserve">nie otrzymując tego rodzaju wsparcia. Generalizując, można stwierdzić że silniejsze ukierunkowanie polityki rolnej i płatności bezpośrednich na </w:t>
      </w:r>
      <w:r w:rsidR="002E3D5D" w:rsidRPr="009524E5">
        <w:rPr>
          <w:rFonts w:ascii="Times New Roman" w:hAnsi="Times New Roman" w:cs="Times New Roman"/>
          <w:sz w:val="20"/>
          <w:szCs w:val="20"/>
        </w:rPr>
        <w:lastRenderedPageBreak/>
        <w:t xml:space="preserve">cele nie musi, ale może obejmować wszystkie gospodarstwa w UE. Musi to jednak zależeć od precyzyjnie zdefiniowanych celów </w:t>
      </w:r>
      <w:r w:rsidR="002B073F">
        <w:rPr>
          <w:rFonts w:ascii="Times New Roman" w:hAnsi="Times New Roman" w:cs="Times New Roman"/>
          <w:sz w:val="20"/>
          <w:szCs w:val="20"/>
        </w:rPr>
        <w:t>i</w:t>
      </w:r>
      <w:r w:rsidR="002E3D5D" w:rsidRPr="009524E5">
        <w:rPr>
          <w:rFonts w:ascii="Times New Roman" w:hAnsi="Times New Roman" w:cs="Times New Roman"/>
          <w:sz w:val="20"/>
          <w:szCs w:val="20"/>
        </w:rPr>
        <w:t>stopnia ich realizacji.</w:t>
      </w:r>
    </w:p>
    <w:p w14:paraId="62A0085E" w14:textId="77777777" w:rsidR="002B073F" w:rsidRPr="009524E5" w:rsidRDefault="002B073F" w:rsidP="00674FD8">
      <w:pPr>
        <w:spacing w:before="120" w:after="120" w:line="240" w:lineRule="auto"/>
        <w:jc w:val="both"/>
        <w:rPr>
          <w:rFonts w:ascii="Times New Roman" w:hAnsi="Times New Roman" w:cs="Times New Roman"/>
          <w:noProof/>
          <w:sz w:val="20"/>
          <w:szCs w:val="20"/>
          <w:lang w:eastAsia="pl-PL"/>
        </w:rPr>
      </w:pPr>
    </w:p>
    <w:p w14:paraId="0B0FC194" w14:textId="58EC279C" w:rsidR="001A167E" w:rsidRPr="00525FA3" w:rsidRDefault="001A167E" w:rsidP="00674FD8">
      <w:pPr>
        <w:pStyle w:val="ListParagraph"/>
        <w:numPr>
          <w:ilvl w:val="0"/>
          <w:numId w:val="9"/>
        </w:numPr>
        <w:spacing w:before="120" w:after="120" w:line="240" w:lineRule="auto"/>
        <w:jc w:val="both"/>
        <w:rPr>
          <w:rFonts w:ascii="Arial" w:eastAsiaTheme="minorEastAsia" w:hAnsi="Arial" w:cs="Arial"/>
          <w:b/>
          <w:bCs/>
          <w:kern w:val="24"/>
          <w:sz w:val="24"/>
          <w:szCs w:val="24"/>
          <w:lang w:eastAsia="pl-PL"/>
        </w:rPr>
      </w:pPr>
      <w:r w:rsidRPr="00525FA3">
        <w:rPr>
          <w:rFonts w:ascii="Arial" w:eastAsiaTheme="minorEastAsia" w:hAnsi="Arial" w:cs="Arial"/>
          <w:b/>
          <w:bCs/>
          <w:color w:val="000000" w:themeColor="text1"/>
          <w:kern w:val="24"/>
          <w:sz w:val="24"/>
          <w:szCs w:val="24"/>
          <w:lang w:eastAsia="pl-PL"/>
        </w:rPr>
        <w:t xml:space="preserve">Globalne uwarunkowania polityczne, ekonomiczne, środowiskowe i </w:t>
      </w:r>
      <w:r w:rsidRPr="00525FA3">
        <w:rPr>
          <w:rFonts w:ascii="Arial" w:eastAsiaTheme="minorEastAsia" w:hAnsi="Arial" w:cs="Arial"/>
          <w:b/>
          <w:bCs/>
          <w:kern w:val="24"/>
          <w:sz w:val="24"/>
          <w:szCs w:val="24"/>
          <w:lang w:eastAsia="pl-PL"/>
        </w:rPr>
        <w:t xml:space="preserve">technologiczne </w:t>
      </w:r>
      <w:r w:rsidRPr="00525FA3">
        <w:rPr>
          <w:rFonts w:ascii="Arial" w:hAnsi="Arial" w:cs="Arial"/>
          <w:b/>
          <w:sz w:val="24"/>
          <w:szCs w:val="24"/>
        </w:rPr>
        <w:t>zmian WPR w perspektywie 2020+</w:t>
      </w:r>
      <w:r w:rsidRPr="00525FA3">
        <w:rPr>
          <w:rFonts w:ascii="Arial" w:eastAsiaTheme="minorEastAsia" w:hAnsi="Arial" w:cs="Arial"/>
          <w:b/>
          <w:bCs/>
          <w:kern w:val="24"/>
          <w:sz w:val="24"/>
          <w:szCs w:val="24"/>
          <w:lang w:eastAsia="pl-PL"/>
        </w:rPr>
        <w:t xml:space="preserve"> </w:t>
      </w:r>
    </w:p>
    <w:p w14:paraId="7682122B" w14:textId="53B2D9C0" w:rsidR="001A167E" w:rsidRPr="00180B72" w:rsidRDefault="001A167E" w:rsidP="009524E5">
      <w:pPr>
        <w:spacing w:before="120" w:after="120" w:line="240" w:lineRule="auto"/>
        <w:jc w:val="both"/>
        <w:rPr>
          <w:rFonts w:ascii="Times New Roman" w:hAnsi="Times New Roman" w:cs="Times New Roman"/>
          <w:sz w:val="20"/>
          <w:szCs w:val="20"/>
        </w:rPr>
      </w:pPr>
      <w:r w:rsidRPr="00180B72">
        <w:rPr>
          <w:rFonts w:ascii="Times New Roman" w:hAnsi="Times New Roman" w:cs="Times New Roman"/>
          <w:sz w:val="20"/>
          <w:szCs w:val="20"/>
        </w:rPr>
        <w:t>Dyskusja nad kształtem zmian WPR po 2020 roku odbywa się w najtrudniejszej historycznie rzecz biorąc sytuacji międzynarodowej i w świetle niespotykanych wcześniej wyzwań</w:t>
      </w:r>
      <w:r w:rsidR="00525FA3" w:rsidRPr="00180B72">
        <w:rPr>
          <w:rFonts w:ascii="Times New Roman" w:hAnsi="Times New Roman" w:cs="Times New Roman"/>
          <w:sz w:val="20"/>
          <w:szCs w:val="20"/>
        </w:rPr>
        <w:t xml:space="preserve">. </w:t>
      </w:r>
      <w:r w:rsidR="000E11AC" w:rsidRPr="00180B72">
        <w:rPr>
          <w:rFonts w:ascii="Times New Roman" w:hAnsi="Times New Roman" w:cs="Times New Roman"/>
          <w:sz w:val="20"/>
          <w:szCs w:val="20"/>
        </w:rPr>
        <w:t>A</w:t>
      </w:r>
      <w:r w:rsidR="00525FA3" w:rsidRPr="00180B72">
        <w:rPr>
          <w:rFonts w:ascii="Times New Roman" w:hAnsi="Times New Roman" w:cs="Times New Roman"/>
          <w:sz w:val="20"/>
          <w:szCs w:val="20"/>
        </w:rPr>
        <w:t>utor</w:t>
      </w:r>
      <w:r w:rsidR="000E11AC" w:rsidRPr="00180B72">
        <w:rPr>
          <w:rFonts w:ascii="Times New Roman" w:hAnsi="Times New Roman" w:cs="Times New Roman"/>
          <w:sz w:val="20"/>
          <w:szCs w:val="20"/>
        </w:rPr>
        <w:t xml:space="preserve">zy chcieliby zwrócić uwagę czytelników na </w:t>
      </w:r>
      <w:r w:rsidR="00525FA3" w:rsidRPr="00180B72">
        <w:rPr>
          <w:rFonts w:ascii="Times New Roman" w:hAnsi="Times New Roman" w:cs="Times New Roman"/>
          <w:sz w:val="20"/>
          <w:szCs w:val="20"/>
        </w:rPr>
        <w:t>najważniejsze z nich.</w:t>
      </w:r>
    </w:p>
    <w:p w14:paraId="76FFFFCB" w14:textId="4F71D5CE" w:rsidR="001A167E" w:rsidRPr="00180B72" w:rsidRDefault="00525FA3" w:rsidP="009524E5">
      <w:pPr>
        <w:spacing w:before="120" w:after="120" w:line="240" w:lineRule="auto"/>
        <w:jc w:val="both"/>
        <w:rPr>
          <w:rFonts w:ascii="Times New Roman" w:hAnsi="Times New Roman" w:cs="Times New Roman"/>
          <w:sz w:val="20"/>
          <w:szCs w:val="20"/>
        </w:rPr>
      </w:pPr>
      <w:r w:rsidRPr="00180B72">
        <w:rPr>
          <w:rFonts w:ascii="Times New Roman" w:hAnsi="Times New Roman" w:cs="Times New Roman"/>
          <w:sz w:val="20"/>
          <w:szCs w:val="20"/>
        </w:rPr>
        <w:t>1. Niestabilna sytuacja polityczna</w:t>
      </w:r>
      <w:r w:rsidR="001A167E" w:rsidRPr="00180B72">
        <w:rPr>
          <w:rFonts w:ascii="Times New Roman" w:hAnsi="Times New Roman" w:cs="Times New Roman"/>
          <w:sz w:val="20"/>
          <w:szCs w:val="20"/>
        </w:rPr>
        <w:t xml:space="preserve"> i nasilające się konflikty zewnętrzne o wojennym charakterze (Ukraina, Bliski Wschód), trwające migracje ludności do krajów UE, zagrożenia bezpieczeństwa wewnętrznego UE, coraz wyraźniej ujawniające się tendencje separatystyczne i protekcjonistyczne, także w krajach członkowskich UE.</w:t>
      </w:r>
    </w:p>
    <w:p w14:paraId="5604F878" w14:textId="592A2B6D" w:rsidR="001A167E" w:rsidRPr="00180B72" w:rsidRDefault="001A167E" w:rsidP="009524E5">
      <w:pPr>
        <w:spacing w:before="120" w:after="120" w:line="240" w:lineRule="auto"/>
        <w:jc w:val="both"/>
        <w:rPr>
          <w:rFonts w:ascii="Times New Roman" w:hAnsi="Times New Roman" w:cs="Times New Roman"/>
          <w:sz w:val="20"/>
          <w:szCs w:val="20"/>
        </w:rPr>
      </w:pPr>
      <w:r w:rsidRPr="00180B72">
        <w:rPr>
          <w:rFonts w:ascii="Times New Roman" w:hAnsi="Times New Roman" w:cs="Times New Roman"/>
          <w:sz w:val="20"/>
          <w:szCs w:val="20"/>
        </w:rPr>
        <w:t>2. W szybkim tempie rosnące zadłużenie finansów publicznych w skali świata</w:t>
      </w:r>
      <w:r w:rsidRPr="00180B72">
        <w:rPr>
          <w:rStyle w:val="FootnoteReference"/>
          <w:rFonts w:ascii="Times New Roman" w:hAnsi="Times New Roman" w:cs="Times New Roman"/>
          <w:sz w:val="20"/>
          <w:szCs w:val="20"/>
        </w:rPr>
        <w:footnoteReference w:id="10"/>
      </w:r>
      <w:r w:rsidR="00525FA3" w:rsidRPr="00180B72">
        <w:rPr>
          <w:rFonts w:ascii="Times New Roman" w:hAnsi="Times New Roman" w:cs="Times New Roman"/>
          <w:sz w:val="20"/>
          <w:szCs w:val="20"/>
        </w:rPr>
        <w:t xml:space="preserve">, co w </w:t>
      </w:r>
      <w:r w:rsidRPr="00180B72">
        <w:rPr>
          <w:rFonts w:ascii="Times New Roman" w:hAnsi="Times New Roman" w:cs="Times New Roman"/>
          <w:sz w:val="20"/>
          <w:szCs w:val="20"/>
        </w:rPr>
        <w:t>warunkach trwającego kryzysu gospodarczego i finansowego</w:t>
      </w:r>
      <w:r w:rsidR="00525FA3" w:rsidRPr="00180B72">
        <w:rPr>
          <w:rFonts w:ascii="Times New Roman" w:hAnsi="Times New Roman" w:cs="Times New Roman"/>
          <w:sz w:val="20"/>
          <w:szCs w:val="20"/>
        </w:rPr>
        <w:t>,</w:t>
      </w:r>
      <w:r w:rsidRPr="00180B72">
        <w:rPr>
          <w:rFonts w:ascii="Times New Roman" w:hAnsi="Times New Roman" w:cs="Times New Roman"/>
          <w:sz w:val="20"/>
          <w:szCs w:val="20"/>
        </w:rPr>
        <w:t xml:space="preserve"> także </w:t>
      </w:r>
      <w:r w:rsidR="00525FA3" w:rsidRPr="00180B72">
        <w:rPr>
          <w:rFonts w:ascii="Times New Roman" w:hAnsi="Times New Roman" w:cs="Times New Roman"/>
          <w:sz w:val="20"/>
          <w:szCs w:val="20"/>
        </w:rPr>
        <w:t>w krajach</w:t>
      </w:r>
      <w:r w:rsidRPr="00180B72">
        <w:rPr>
          <w:rFonts w:ascii="Times New Roman" w:hAnsi="Times New Roman" w:cs="Times New Roman"/>
          <w:sz w:val="20"/>
          <w:szCs w:val="20"/>
        </w:rPr>
        <w:t xml:space="preserve"> UE, stawia kwestie finansowania </w:t>
      </w:r>
      <w:r w:rsidR="007D063C" w:rsidRPr="00180B72">
        <w:rPr>
          <w:rFonts w:ascii="Times New Roman" w:hAnsi="Times New Roman" w:cs="Times New Roman"/>
          <w:sz w:val="20"/>
          <w:szCs w:val="20"/>
        </w:rPr>
        <w:t xml:space="preserve">unijnych </w:t>
      </w:r>
      <w:r w:rsidRPr="00180B72">
        <w:rPr>
          <w:rFonts w:ascii="Times New Roman" w:hAnsi="Times New Roman" w:cs="Times New Roman"/>
          <w:sz w:val="20"/>
          <w:szCs w:val="20"/>
        </w:rPr>
        <w:t xml:space="preserve">polityk w nowym świetle, wymagającym pragmatycznych </w:t>
      </w:r>
      <w:r w:rsidR="007F7ED7" w:rsidRPr="00180B72">
        <w:rPr>
          <w:rFonts w:ascii="Times New Roman" w:hAnsi="Times New Roman" w:cs="Times New Roman"/>
          <w:sz w:val="20"/>
          <w:szCs w:val="20"/>
        </w:rPr>
        <w:t xml:space="preserve">i </w:t>
      </w:r>
      <w:r w:rsidRPr="00180B72">
        <w:rPr>
          <w:rFonts w:ascii="Times New Roman" w:hAnsi="Times New Roman" w:cs="Times New Roman"/>
          <w:sz w:val="20"/>
          <w:szCs w:val="20"/>
        </w:rPr>
        <w:t>rozsądnych rozwiązań.</w:t>
      </w:r>
    </w:p>
    <w:p w14:paraId="17BCF8D3" w14:textId="7E4E581E" w:rsidR="001A167E" w:rsidRPr="00180B72" w:rsidRDefault="001A167E" w:rsidP="009524E5">
      <w:pPr>
        <w:spacing w:before="120" w:after="120" w:line="240" w:lineRule="auto"/>
        <w:jc w:val="both"/>
        <w:rPr>
          <w:rFonts w:ascii="Times New Roman" w:hAnsi="Times New Roman" w:cs="Times New Roman"/>
          <w:sz w:val="20"/>
          <w:szCs w:val="20"/>
        </w:rPr>
      </w:pPr>
      <w:r w:rsidRPr="00180B72">
        <w:rPr>
          <w:rFonts w:ascii="Times New Roman" w:hAnsi="Times New Roman" w:cs="Times New Roman"/>
          <w:sz w:val="20"/>
          <w:szCs w:val="20"/>
        </w:rPr>
        <w:t>3. Dokonujące się w bezprecedensowym w historii ludzkości tempie innowacyjne zmiany technik i technologii produkcji rolniczej (informatyzacja, robotyzacja, automatyzacja), determinują rosnącą skalę potrzeb inwestycyjnych polskiego, jak i unijnego rolnictwa. Nie można mówić o zakończeniu modernizacji i restruktur</w:t>
      </w:r>
      <w:r w:rsidR="00100FB3" w:rsidRPr="00180B72">
        <w:rPr>
          <w:rFonts w:ascii="Times New Roman" w:hAnsi="Times New Roman" w:cs="Times New Roman"/>
          <w:sz w:val="20"/>
          <w:szCs w:val="20"/>
        </w:rPr>
        <w:t>yzacji europejskiego rolnictwa. Szczególnie dotyczy to nowych krajów</w:t>
      </w:r>
      <w:r w:rsidRPr="00180B72">
        <w:rPr>
          <w:rFonts w:ascii="Times New Roman" w:hAnsi="Times New Roman" w:cs="Times New Roman"/>
          <w:sz w:val="20"/>
          <w:szCs w:val="20"/>
        </w:rPr>
        <w:t xml:space="preserve"> członkowskich. Od odpowiedniego zaspokojenia potrzeb w tym zakresie zależy zapewnienie bezpieczeństwa żywnościowego k</w:t>
      </w:r>
      <w:r w:rsidR="007D063C">
        <w:rPr>
          <w:rFonts w:ascii="Times New Roman" w:hAnsi="Times New Roman" w:cs="Times New Roman"/>
          <w:sz w:val="20"/>
          <w:szCs w:val="20"/>
        </w:rPr>
        <w:t xml:space="preserve">rajów członkowskich UE, w tym </w:t>
      </w:r>
      <w:r w:rsidRPr="00180B72">
        <w:rPr>
          <w:rFonts w:ascii="Times New Roman" w:hAnsi="Times New Roman" w:cs="Times New Roman"/>
          <w:sz w:val="20"/>
          <w:szCs w:val="20"/>
        </w:rPr>
        <w:t>Polski. Nie należy ulegać błędnemu postrzeganiu tej kwestii polegające na fałszywej tezie, że żywność nie gorszej jakości możemy taniej kupić za granicą. Zapewnienie rodzimego bezpieczeństwa żywnościowego warunkuje żywotność narodów.</w:t>
      </w:r>
    </w:p>
    <w:p w14:paraId="47A27957" w14:textId="7BB88F85" w:rsidR="001A167E" w:rsidRPr="00180B72" w:rsidRDefault="001A167E" w:rsidP="009524E5">
      <w:pPr>
        <w:spacing w:before="120" w:after="120" w:line="240" w:lineRule="auto"/>
        <w:jc w:val="both"/>
        <w:rPr>
          <w:rFonts w:ascii="Times New Roman" w:hAnsi="Times New Roman" w:cs="Times New Roman"/>
          <w:sz w:val="20"/>
          <w:szCs w:val="20"/>
        </w:rPr>
      </w:pPr>
      <w:r w:rsidRPr="00180B72">
        <w:rPr>
          <w:rFonts w:ascii="Times New Roman" w:hAnsi="Times New Roman" w:cs="Times New Roman"/>
          <w:sz w:val="20"/>
          <w:szCs w:val="20"/>
        </w:rPr>
        <w:t>4. Postępując</w:t>
      </w:r>
      <w:r w:rsidR="007F7ED7" w:rsidRPr="00180B72">
        <w:rPr>
          <w:rFonts w:ascii="Times New Roman" w:hAnsi="Times New Roman" w:cs="Times New Roman"/>
          <w:sz w:val="20"/>
          <w:szCs w:val="20"/>
        </w:rPr>
        <w:t>a</w:t>
      </w:r>
      <w:r w:rsidRPr="00180B72">
        <w:rPr>
          <w:rFonts w:ascii="Times New Roman" w:hAnsi="Times New Roman" w:cs="Times New Roman"/>
          <w:sz w:val="20"/>
          <w:szCs w:val="20"/>
        </w:rPr>
        <w:t xml:space="preserve"> liberalizacj</w:t>
      </w:r>
      <w:r w:rsidR="007F7ED7" w:rsidRPr="00180B72">
        <w:rPr>
          <w:rFonts w:ascii="Times New Roman" w:hAnsi="Times New Roman" w:cs="Times New Roman"/>
          <w:sz w:val="20"/>
          <w:szCs w:val="20"/>
        </w:rPr>
        <w:t>a</w:t>
      </w:r>
      <w:r w:rsidRPr="00180B72">
        <w:rPr>
          <w:rFonts w:ascii="Times New Roman" w:hAnsi="Times New Roman" w:cs="Times New Roman"/>
          <w:sz w:val="20"/>
          <w:szCs w:val="20"/>
        </w:rPr>
        <w:t xml:space="preserve"> handlu rolnego (już finalizowane lub negocjowane umowy o wolnym handlu z potentatami dysponującymi dużym potencjałem wytwórczym w rolnictwie oraz nadwyżkami eksportowymi – CETA, TTIP, Nowa Zelandia, czy kraje MERCOSUR) i relacje gospodarcze w skali światowej – chociażby w stosunku do konsolidującej się grupy państw BRICS. </w:t>
      </w:r>
    </w:p>
    <w:p w14:paraId="3F15CB68" w14:textId="3203662A" w:rsidR="001A167E" w:rsidRPr="00180B72" w:rsidRDefault="001A167E" w:rsidP="009524E5">
      <w:pPr>
        <w:spacing w:before="120" w:after="120" w:line="240" w:lineRule="auto"/>
        <w:jc w:val="both"/>
        <w:rPr>
          <w:rFonts w:ascii="Times New Roman" w:hAnsi="Times New Roman" w:cs="Times New Roman"/>
          <w:sz w:val="20"/>
          <w:szCs w:val="20"/>
        </w:rPr>
      </w:pPr>
      <w:r w:rsidRPr="00180B72">
        <w:rPr>
          <w:rFonts w:ascii="Times New Roman" w:hAnsi="Times New Roman" w:cs="Times New Roman"/>
          <w:sz w:val="20"/>
          <w:szCs w:val="20"/>
        </w:rPr>
        <w:t>5.</w:t>
      </w:r>
      <w:r w:rsidR="00100FB3" w:rsidRPr="00180B72">
        <w:rPr>
          <w:rFonts w:ascii="Times New Roman" w:hAnsi="Times New Roman" w:cs="Times New Roman"/>
          <w:sz w:val="20"/>
          <w:szCs w:val="20"/>
        </w:rPr>
        <w:t xml:space="preserve"> Niekorzystne</w:t>
      </w:r>
      <w:r w:rsidRPr="00180B72">
        <w:rPr>
          <w:rFonts w:ascii="Times New Roman" w:hAnsi="Times New Roman" w:cs="Times New Roman"/>
          <w:sz w:val="20"/>
          <w:szCs w:val="20"/>
        </w:rPr>
        <w:t xml:space="preserve"> </w:t>
      </w:r>
      <w:r w:rsidR="00100FB3" w:rsidRPr="00180B72">
        <w:rPr>
          <w:rFonts w:ascii="Times New Roman" w:hAnsi="Times New Roman" w:cs="Times New Roman"/>
          <w:sz w:val="20"/>
          <w:szCs w:val="20"/>
        </w:rPr>
        <w:t>z</w:t>
      </w:r>
      <w:r w:rsidRPr="00180B72">
        <w:rPr>
          <w:rFonts w:ascii="Times New Roman" w:hAnsi="Times New Roman" w:cs="Times New Roman"/>
          <w:sz w:val="20"/>
          <w:szCs w:val="20"/>
        </w:rPr>
        <w:t xml:space="preserve">miany </w:t>
      </w:r>
      <w:r w:rsidR="00100FB3" w:rsidRPr="00180B72">
        <w:rPr>
          <w:rFonts w:ascii="Times New Roman" w:hAnsi="Times New Roman" w:cs="Times New Roman"/>
          <w:sz w:val="20"/>
          <w:szCs w:val="20"/>
        </w:rPr>
        <w:t>finansowania</w:t>
      </w:r>
      <w:r w:rsidRPr="00180B72">
        <w:rPr>
          <w:rFonts w:ascii="Times New Roman" w:hAnsi="Times New Roman" w:cs="Times New Roman"/>
          <w:sz w:val="20"/>
          <w:szCs w:val="20"/>
        </w:rPr>
        <w:t xml:space="preserve"> WPR w ciągu ostatnich 20 lat, kiedy to roczne nominalne wydatki w skali Wspólnoty wzrosły zaledwie o blisko 50% (z 42 do 60 mld euro), </w:t>
      </w:r>
      <w:r w:rsidR="00100FB3" w:rsidRPr="00180B72">
        <w:rPr>
          <w:rFonts w:ascii="Times New Roman" w:hAnsi="Times New Roman" w:cs="Times New Roman"/>
          <w:sz w:val="20"/>
          <w:szCs w:val="20"/>
        </w:rPr>
        <w:t>gdy w tym samym czasie l</w:t>
      </w:r>
      <w:r w:rsidRPr="00180B72">
        <w:rPr>
          <w:rFonts w:ascii="Times New Roman" w:hAnsi="Times New Roman" w:cs="Times New Roman"/>
          <w:sz w:val="20"/>
          <w:szCs w:val="20"/>
        </w:rPr>
        <w:t>iczba krajów członkowskich zwiększyła się prawie dwukrotnie (z 15 do 28)</w:t>
      </w:r>
      <w:r w:rsidR="00100FB3" w:rsidRPr="00180B72">
        <w:rPr>
          <w:rFonts w:ascii="Times New Roman" w:hAnsi="Times New Roman" w:cs="Times New Roman"/>
          <w:sz w:val="20"/>
          <w:szCs w:val="20"/>
        </w:rPr>
        <w:t>. U</w:t>
      </w:r>
      <w:r w:rsidRPr="00180B72">
        <w:rPr>
          <w:rFonts w:ascii="Times New Roman" w:hAnsi="Times New Roman" w:cs="Times New Roman"/>
          <w:sz w:val="20"/>
          <w:szCs w:val="20"/>
        </w:rPr>
        <w:t>dział wydatków na WPR w unijnym PKB charak</w:t>
      </w:r>
      <w:r w:rsidR="007D063C">
        <w:rPr>
          <w:rFonts w:ascii="Times New Roman" w:hAnsi="Times New Roman" w:cs="Times New Roman"/>
          <w:sz w:val="20"/>
          <w:szCs w:val="20"/>
        </w:rPr>
        <w:t xml:space="preserve">teryzował się niemal </w:t>
      </w:r>
      <w:r w:rsidR="007D063C">
        <w:rPr>
          <w:rFonts w:ascii="Times New Roman" w:hAnsi="Times New Roman" w:cs="Times New Roman"/>
          <w:sz w:val="20"/>
          <w:szCs w:val="20"/>
        </w:rPr>
        <w:lastRenderedPageBreak/>
        <w:t>dwukrotnym</w:t>
      </w:r>
      <w:r w:rsidRPr="00180B72">
        <w:rPr>
          <w:rFonts w:ascii="Times New Roman" w:hAnsi="Times New Roman" w:cs="Times New Roman"/>
          <w:sz w:val="20"/>
          <w:szCs w:val="20"/>
        </w:rPr>
        <w:t xml:space="preserve"> spadkiem w relacji do PKB wytwarzanego łącznie przez kraje członkowskie UE (z około 0,60% do 0,32%).</w:t>
      </w:r>
    </w:p>
    <w:p w14:paraId="42293597" w14:textId="57A8BB30" w:rsidR="001A167E" w:rsidRPr="00180B72" w:rsidRDefault="00100FB3" w:rsidP="009524E5">
      <w:pPr>
        <w:spacing w:before="120" w:after="120" w:line="240" w:lineRule="auto"/>
        <w:jc w:val="both"/>
        <w:rPr>
          <w:rFonts w:ascii="Times New Roman" w:hAnsi="Times New Roman" w:cs="Times New Roman"/>
          <w:sz w:val="20"/>
          <w:szCs w:val="20"/>
        </w:rPr>
      </w:pPr>
      <w:r w:rsidRPr="00180B72">
        <w:rPr>
          <w:rFonts w:ascii="Times New Roman" w:hAnsi="Times New Roman" w:cs="Times New Roman"/>
          <w:sz w:val="20"/>
          <w:szCs w:val="20"/>
        </w:rPr>
        <w:t>6. Postępująca</w:t>
      </w:r>
      <w:r w:rsidR="001A167E" w:rsidRPr="00180B72">
        <w:rPr>
          <w:rFonts w:ascii="Times New Roman" w:hAnsi="Times New Roman" w:cs="Times New Roman"/>
          <w:sz w:val="20"/>
          <w:szCs w:val="20"/>
        </w:rPr>
        <w:t xml:space="preserve"> </w:t>
      </w:r>
      <w:r w:rsidRPr="00180B72">
        <w:rPr>
          <w:rFonts w:ascii="Times New Roman" w:hAnsi="Times New Roman" w:cs="Times New Roman"/>
          <w:sz w:val="20"/>
          <w:szCs w:val="20"/>
        </w:rPr>
        <w:t>systematycznie w UE reorientacja</w:t>
      </w:r>
      <w:r w:rsidR="001A167E" w:rsidRPr="00180B72">
        <w:rPr>
          <w:rFonts w:ascii="Times New Roman" w:hAnsi="Times New Roman" w:cs="Times New Roman"/>
          <w:sz w:val="20"/>
          <w:szCs w:val="20"/>
        </w:rPr>
        <w:t xml:space="preserve"> celów prowadzonych polityk i coraz mniejsz</w:t>
      </w:r>
      <w:r w:rsidRPr="00180B72">
        <w:rPr>
          <w:rFonts w:ascii="Times New Roman" w:hAnsi="Times New Roman" w:cs="Times New Roman"/>
          <w:sz w:val="20"/>
          <w:szCs w:val="20"/>
        </w:rPr>
        <w:t>a ranga nadawana</w:t>
      </w:r>
      <w:r w:rsidR="001A167E" w:rsidRPr="00180B72">
        <w:rPr>
          <w:rFonts w:ascii="Times New Roman" w:hAnsi="Times New Roman" w:cs="Times New Roman"/>
          <w:sz w:val="20"/>
          <w:szCs w:val="20"/>
        </w:rPr>
        <w:t xml:space="preserve"> WPR wśród priorytetów ustanawianych na kolejne okresy programowania. Problem ten dotyczy również polityki spójności, mającej za swój główny cel niwelowanie zróżnicowania poziomu rozwoju pomiędzy krajami członkowskimi, w tym na obszarach wiejskich. </w:t>
      </w:r>
    </w:p>
    <w:p w14:paraId="41F9AF68" w14:textId="77777777" w:rsidR="001A167E" w:rsidRPr="00180B72" w:rsidRDefault="001A167E" w:rsidP="009524E5">
      <w:pPr>
        <w:pStyle w:val="NormalWeb"/>
        <w:spacing w:before="120" w:beforeAutospacing="0" w:after="120" w:afterAutospacing="0"/>
        <w:jc w:val="both"/>
        <w:rPr>
          <w:sz w:val="20"/>
          <w:szCs w:val="20"/>
        </w:rPr>
      </w:pPr>
      <w:r w:rsidRPr="00180B72">
        <w:rPr>
          <w:rFonts w:eastAsiaTheme="minorEastAsia"/>
          <w:color w:val="000000" w:themeColor="text1"/>
          <w:kern w:val="24"/>
          <w:sz w:val="20"/>
          <w:szCs w:val="20"/>
        </w:rPr>
        <w:t>7. Konieczność uwzględnienia celów zrównoważonego rozwoju ONZ do 2030 r., uzgodnień ze szczytu klimatycznego z Paryża z grudnia 2015 r. oraz konferencji z CORK 2.0, dotyczących w szczególności: zarządzania zasobami naturalnymi, mitygowania zmian klimatycznych i ochrony środowiska.</w:t>
      </w:r>
    </w:p>
    <w:p w14:paraId="22CB028C" w14:textId="71480D3A" w:rsidR="001A167E" w:rsidRPr="00180B72" w:rsidRDefault="001A167E" w:rsidP="009524E5">
      <w:pPr>
        <w:pStyle w:val="Heading2"/>
        <w:shd w:val="clear" w:color="auto" w:fill="FFFFFF"/>
        <w:spacing w:before="250" w:beforeAutospacing="0" w:after="96" w:afterAutospacing="0"/>
        <w:jc w:val="both"/>
        <w:rPr>
          <w:rFonts w:eastAsiaTheme="minorEastAsia"/>
          <w:b w:val="0"/>
          <w:color w:val="000000" w:themeColor="text1"/>
          <w:kern w:val="24"/>
          <w:sz w:val="20"/>
          <w:szCs w:val="20"/>
          <w:lang w:val="pl-PL" w:eastAsia="pl-PL"/>
        </w:rPr>
      </w:pPr>
      <w:r w:rsidRPr="00180B72">
        <w:rPr>
          <w:rFonts w:eastAsiaTheme="minorEastAsia"/>
          <w:b w:val="0"/>
          <w:kern w:val="24"/>
          <w:sz w:val="20"/>
          <w:szCs w:val="20"/>
          <w:lang w:val="pl-PL" w:eastAsia="pl-PL"/>
        </w:rPr>
        <w:t xml:space="preserve">8. Potrzebę silnego ukierunkowania sektora rolno-spożywczego na innowacyjność we wszystkich wymiarach, co jest podstawą rozwoju i konkurencyjności w UE i na rynkach globalnych - fundamentalna </w:t>
      </w:r>
      <w:r w:rsidR="007F7ED7" w:rsidRPr="00180B72">
        <w:rPr>
          <w:rFonts w:eastAsiaTheme="minorEastAsia"/>
          <w:b w:val="0"/>
          <w:kern w:val="24"/>
          <w:sz w:val="20"/>
          <w:szCs w:val="20"/>
          <w:lang w:val="pl-PL" w:eastAsia="pl-PL"/>
        </w:rPr>
        <w:t xml:space="preserve">w tej sferze </w:t>
      </w:r>
      <w:r w:rsidRPr="00180B72">
        <w:rPr>
          <w:rFonts w:eastAsiaTheme="minorEastAsia"/>
          <w:b w:val="0"/>
          <w:kern w:val="24"/>
          <w:sz w:val="20"/>
          <w:szCs w:val="20"/>
          <w:lang w:val="pl-PL" w:eastAsia="pl-PL"/>
        </w:rPr>
        <w:t xml:space="preserve">rola systemu wiedzy i innowacyjności w rolnictwie (ang. </w:t>
      </w:r>
      <w:r w:rsidR="000E11AC" w:rsidRPr="00180B72">
        <w:rPr>
          <w:b w:val="0"/>
          <w:sz w:val="20"/>
          <w:szCs w:val="20"/>
          <w:lang w:val="pl-PL"/>
        </w:rPr>
        <w:t xml:space="preserve"> Agricultural Knowledge and Innovation System</w:t>
      </w:r>
      <w:r w:rsidR="005020E4" w:rsidRPr="00180B72">
        <w:rPr>
          <w:b w:val="0"/>
          <w:sz w:val="20"/>
          <w:szCs w:val="20"/>
          <w:lang w:val="pl-PL"/>
        </w:rPr>
        <w:t>s - AKIS</w:t>
      </w:r>
      <w:r w:rsidRPr="00180B72">
        <w:rPr>
          <w:rFonts w:eastAsiaTheme="minorEastAsia"/>
          <w:b w:val="0"/>
          <w:color w:val="000000" w:themeColor="text1"/>
          <w:kern w:val="24"/>
          <w:sz w:val="20"/>
          <w:szCs w:val="20"/>
          <w:lang w:val="pl-PL" w:eastAsia="pl-PL"/>
        </w:rPr>
        <w:t>).</w:t>
      </w:r>
    </w:p>
    <w:p w14:paraId="612D7F90" w14:textId="77777777" w:rsidR="001A167E" w:rsidRPr="00180B72" w:rsidRDefault="001A167E" w:rsidP="009524E5">
      <w:pPr>
        <w:spacing w:before="120" w:after="120" w:line="240" w:lineRule="auto"/>
        <w:jc w:val="both"/>
        <w:rPr>
          <w:rFonts w:ascii="Times New Roman" w:hAnsi="Times New Roman" w:cs="Times New Roman"/>
          <w:sz w:val="20"/>
          <w:szCs w:val="20"/>
        </w:rPr>
      </w:pPr>
      <w:r w:rsidRPr="00180B72">
        <w:rPr>
          <w:rFonts w:ascii="Times New Roman" w:hAnsi="Times New Roman" w:cs="Times New Roman"/>
          <w:sz w:val="20"/>
          <w:szCs w:val="20"/>
        </w:rPr>
        <w:t>9. Brexit skutkujący zmniejszonymi wpływami do budżetu UE w kwocie 10-13 mld euro rocznie.</w:t>
      </w:r>
    </w:p>
    <w:p w14:paraId="298394D3" w14:textId="4A722C8A" w:rsidR="001A167E" w:rsidRPr="00180B72" w:rsidRDefault="001A167E" w:rsidP="009524E5">
      <w:pPr>
        <w:spacing w:before="120" w:after="120" w:line="240" w:lineRule="auto"/>
        <w:jc w:val="both"/>
        <w:rPr>
          <w:rFonts w:ascii="Times New Roman" w:hAnsi="Times New Roman" w:cs="Times New Roman"/>
          <w:sz w:val="20"/>
          <w:szCs w:val="20"/>
        </w:rPr>
      </w:pPr>
      <w:r w:rsidRPr="00180B72">
        <w:rPr>
          <w:rFonts w:ascii="Times New Roman" w:hAnsi="Times New Roman" w:cs="Times New Roman"/>
          <w:sz w:val="20"/>
          <w:szCs w:val="20"/>
        </w:rPr>
        <w:t>10. Niechęć płatników netto w sytuacji trudności budżetowych do kontynuowania wnoszenia składki do wspólnego budżetu na dotychczasowych zasadach. Nie jest dla nich zbyt silnym argumentem osiąganie tzw. unijnej wartości dodanej z realizowanych ze wspólnego budżetu programów</w:t>
      </w:r>
      <w:r w:rsidR="007F7ED7" w:rsidRPr="00180B72">
        <w:rPr>
          <w:rFonts w:ascii="Times New Roman" w:hAnsi="Times New Roman" w:cs="Times New Roman"/>
          <w:sz w:val="20"/>
          <w:szCs w:val="20"/>
        </w:rPr>
        <w:t xml:space="preserve"> podnoszonej przez Komisję Europejską</w:t>
      </w:r>
      <w:r w:rsidRPr="00180B72">
        <w:rPr>
          <w:rFonts w:ascii="Times New Roman" w:hAnsi="Times New Roman" w:cs="Times New Roman"/>
          <w:sz w:val="20"/>
          <w:szCs w:val="20"/>
        </w:rPr>
        <w:t xml:space="preserve">. </w:t>
      </w:r>
    </w:p>
    <w:p w14:paraId="37F13081" w14:textId="55F0E61C" w:rsidR="001A167E" w:rsidRPr="00180B72" w:rsidRDefault="001A167E" w:rsidP="009524E5">
      <w:pPr>
        <w:spacing w:before="120" w:after="120" w:line="240" w:lineRule="auto"/>
        <w:jc w:val="both"/>
        <w:rPr>
          <w:rFonts w:ascii="Arial" w:hAnsi="Arial" w:cs="Arial"/>
          <w:sz w:val="24"/>
          <w:szCs w:val="24"/>
        </w:rPr>
      </w:pPr>
      <w:r w:rsidRPr="00180B72">
        <w:rPr>
          <w:rFonts w:ascii="Times New Roman" w:hAnsi="Times New Roman" w:cs="Times New Roman"/>
          <w:sz w:val="20"/>
          <w:szCs w:val="20"/>
        </w:rPr>
        <w:t xml:space="preserve">11. Konieczność reorientacji polityki finansowania wsparcia w ramach WPR i zwiększenie udziału zwrotnych instrumentów finansowych (ang. </w:t>
      </w:r>
      <w:r w:rsidRPr="00180B72">
        <w:rPr>
          <w:rFonts w:ascii="Times New Roman" w:hAnsi="Times New Roman" w:cs="Times New Roman"/>
          <w:i/>
          <w:sz w:val="20"/>
          <w:szCs w:val="20"/>
        </w:rPr>
        <w:t>Financial Instruments</w:t>
      </w:r>
      <w:r w:rsidRPr="00180B72">
        <w:rPr>
          <w:rFonts w:ascii="Times New Roman" w:hAnsi="Times New Roman" w:cs="Times New Roman"/>
          <w:sz w:val="20"/>
          <w:szCs w:val="20"/>
        </w:rPr>
        <w:t xml:space="preserve">), a przede wszystkim budżetu zorientowanego na cele (ang. </w:t>
      </w:r>
      <w:r w:rsidRPr="00180B72">
        <w:rPr>
          <w:rFonts w:ascii="Times New Roman" w:hAnsi="Times New Roman" w:cs="Times New Roman"/>
          <w:i/>
          <w:sz w:val="20"/>
          <w:szCs w:val="20"/>
        </w:rPr>
        <w:t>Budget Focus on R</w:t>
      </w:r>
      <w:r w:rsidR="002B073F" w:rsidRPr="00180B72">
        <w:rPr>
          <w:rFonts w:ascii="Times New Roman" w:hAnsi="Times New Roman" w:cs="Times New Roman"/>
          <w:i/>
          <w:sz w:val="20"/>
          <w:szCs w:val="20"/>
        </w:rPr>
        <w:t>esults</w:t>
      </w:r>
      <w:r w:rsidRPr="00180B72">
        <w:rPr>
          <w:rFonts w:ascii="Times New Roman" w:hAnsi="Times New Roman" w:cs="Times New Roman"/>
          <w:sz w:val="20"/>
          <w:szCs w:val="20"/>
        </w:rPr>
        <w:t>) oraz sys</w:t>
      </w:r>
      <w:r w:rsidR="00100FB3" w:rsidRPr="00180B72">
        <w:rPr>
          <w:rFonts w:ascii="Times New Roman" w:hAnsi="Times New Roman" w:cs="Times New Roman"/>
          <w:sz w:val="20"/>
          <w:szCs w:val="20"/>
        </w:rPr>
        <w:t>temu płatności opartego na osiąg</w:t>
      </w:r>
      <w:r w:rsidRPr="00180B72">
        <w:rPr>
          <w:rFonts w:ascii="Times New Roman" w:hAnsi="Times New Roman" w:cs="Times New Roman"/>
          <w:sz w:val="20"/>
          <w:szCs w:val="20"/>
        </w:rPr>
        <w:t xml:space="preserve">anych celach (ang. </w:t>
      </w:r>
      <w:r w:rsidRPr="00180B72">
        <w:rPr>
          <w:rFonts w:ascii="Times New Roman" w:hAnsi="Times New Roman" w:cs="Times New Roman"/>
          <w:i/>
          <w:sz w:val="20"/>
          <w:szCs w:val="20"/>
        </w:rPr>
        <w:t>Results Based Payment Schemes</w:t>
      </w:r>
      <w:r w:rsidR="002B073F" w:rsidRPr="00180B72">
        <w:rPr>
          <w:rFonts w:ascii="Times New Roman" w:hAnsi="Times New Roman" w:cs="Times New Roman"/>
          <w:sz w:val="20"/>
          <w:szCs w:val="20"/>
        </w:rPr>
        <w:t xml:space="preserve"> </w:t>
      </w:r>
      <w:r w:rsidRPr="00180B72">
        <w:rPr>
          <w:rFonts w:ascii="Arial" w:hAnsi="Arial" w:cs="Arial"/>
          <w:sz w:val="20"/>
          <w:szCs w:val="20"/>
        </w:rPr>
        <w:t>)</w:t>
      </w:r>
      <w:r w:rsidRPr="00180B72">
        <w:rPr>
          <w:rStyle w:val="FootnoteReference"/>
          <w:rFonts w:ascii="Arial" w:hAnsi="Arial" w:cs="Arial"/>
          <w:sz w:val="20"/>
          <w:szCs w:val="20"/>
        </w:rPr>
        <w:footnoteReference w:id="11"/>
      </w:r>
      <w:r w:rsidR="00100FB3" w:rsidRPr="00180B72">
        <w:rPr>
          <w:rFonts w:ascii="Arial" w:hAnsi="Arial" w:cs="Arial"/>
          <w:sz w:val="20"/>
          <w:szCs w:val="20"/>
        </w:rPr>
        <w:t>.</w:t>
      </w:r>
    </w:p>
    <w:p w14:paraId="6FD396E8" w14:textId="77777777" w:rsidR="00525FA3" w:rsidRPr="00C87342" w:rsidRDefault="00525FA3" w:rsidP="001A167E">
      <w:pPr>
        <w:spacing w:after="0" w:line="360" w:lineRule="auto"/>
        <w:jc w:val="both"/>
        <w:rPr>
          <w:rFonts w:ascii="Times New Roman" w:eastAsiaTheme="minorEastAsia" w:hAnsi="Times New Roman" w:cs="Times New Roman"/>
          <w:b/>
          <w:bCs/>
          <w:kern w:val="24"/>
          <w:sz w:val="20"/>
          <w:szCs w:val="20"/>
          <w:lang w:eastAsia="pl-PL"/>
        </w:rPr>
      </w:pPr>
    </w:p>
    <w:p w14:paraId="3ADE9423" w14:textId="0103CAB9" w:rsidR="001A167E" w:rsidRPr="00BF6E68" w:rsidRDefault="00525FA3" w:rsidP="00536A0E">
      <w:pPr>
        <w:pStyle w:val="ListParagraph"/>
        <w:numPr>
          <w:ilvl w:val="0"/>
          <w:numId w:val="9"/>
        </w:numPr>
        <w:spacing w:after="0" w:line="240" w:lineRule="auto"/>
        <w:ind w:left="714" w:hanging="357"/>
        <w:jc w:val="both"/>
        <w:rPr>
          <w:rFonts w:ascii="Arial" w:eastAsia="Times New Roman" w:hAnsi="Arial" w:cs="Arial"/>
          <w:b/>
          <w:noProof/>
          <w:sz w:val="24"/>
          <w:szCs w:val="24"/>
          <w:lang w:eastAsia="pl-PL"/>
        </w:rPr>
      </w:pPr>
      <w:r w:rsidRPr="00BF6E68">
        <w:rPr>
          <w:rFonts w:ascii="Arial" w:eastAsiaTheme="minorEastAsia" w:hAnsi="Arial" w:cs="Arial"/>
          <w:b/>
          <w:bCs/>
          <w:kern w:val="24"/>
          <w:sz w:val="24"/>
          <w:szCs w:val="24"/>
          <w:lang w:eastAsia="pl-PL"/>
        </w:rPr>
        <w:t xml:space="preserve">Uwarunkowania </w:t>
      </w:r>
      <w:r w:rsidRPr="00BF6E68">
        <w:rPr>
          <w:rFonts w:ascii="Arial" w:eastAsia="Times New Roman" w:hAnsi="Arial" w:cs="Arial"/>
          <w:b/>
          <w:noProof/>
          <w:sz w:val="24"/>
          <w:szCs w:val="24"/>
          <w:lang w:eastAsia="pl-PL"/>
        </w:rPr>
        <w:t>zmian</w:t>
      </w:r>
      <w:r w:rsidRPr="00BF6E68">
        <w:rPr>
          <w:rFonts w:ascii="Arial" w:eastAsiaTheme="minorEastAsia" w:hAnsi="Arial" w:cs="Arial"/>
          <w:b/>
          <w:bCs/>
          <w:kern w:val="24"/>
          <w:sz w:val="24"/>
          <w:szCs w:val="24"/>
          <w:lang w:eastAsia="pl-PL"/>
        </w:rPr>
        <w:t xml:space="preserve"> w świetle śródokresowego</w:t>
      </w:r>
      <w:r w:rsidR="001A167E" w:rsidRPr="00BF6E68">
        <w:rPr>
          <w:rFonts w:ascii="Arial" w:eastAsiaTheme="minorEastAsia" w:hAnsi="Arial" w:cs="Arial"/>
          <w:b/>
          <w:bCs/>
          <w:kern w:val="24"/>
          <w:sz w:val="24"/>
          <w:szCs w:val="24"/>
          <w:lang w:eastAsia="pl-PL"/>
        </w:rPr>
        <w:t xml:space="preserve"> przegląd</w:t>
      </w:r>
      <w:r w:rsidRPr="00BF6E68">
        <w:rPr>
          <w:rFonts w:ascii="Arial" w:eastAsiaTheme="minorEastAsia" w:hAnsi="Arial" w:cs="Arial"/>
          <w:b/>
          <w:bCs/>
          <w:kern w:val="24"/>
          <w:sz w:val="24"/>
          <w:szCs w:val="24"/>
          <w:lang w:eastAsia="pl-PL"/>
        </w:rPr>
        <w:t>u</w:t>
      </w:r>
      <w:r w:rsidR="001A167E" w:rsidRPr="00BF6E68">
        <w:rPr>
          <w:rFonts w:ascii="Arial" w:eastAsiaTheme="minorEastAsia" w:hAnsi="Arial" w:cs="Arial"/>
          <w:b/>
          <w:bCs/>
          <w:kern w:val="24"/>
          <w:sz w:val="24"/>
          <w:szCs w:val="24"/>
          <w:lang w:eastAsia="pl-PL"/>
        </w:rPr>
        <w:t xml:space="preserve"> wieloletnich ram finansowych 2014-2020  </w:t>
      </w:r>
    </w:p>
    <w:p w14:paraId="07E5E34D" w14:textId="6620A8F4" w:rsidR="001A167E" w:rsidRPr="007D063C" w:rsidRDefault="001A167E" w:rsidP="009524E5">
      <w:pPr>
        <w:spacing w:before="120" w:after="120" w:line="240" w:lineRule="auto"/>
        <w:jc w:val="both"/>
        <w:rPr>
          <w:rFonts w:ascii="Times New Roman" w:hAnsi="Times New Roman" w:cs="Times New Roman"/>
          <w:noProof/>
          <w:sz w:val="20"/>
          <w:szCs w:val="20"/>
        </w:rPr>
      </w:pPr>
      <w:r w:rsidRPr="007D063C">
        <w:rPr>
          <w:rFonts w:ascii="Times New Roman" w:eastAsiaTheme="minorEastAsia" w:hAnsi="Times New Roman" w:cs="Times New Roman"/>
          <w:color w:val="000000" w:themeColor="text1"/>
          <w:kern w:val="24"/>
          <w:sz w:val="20"/>
          <w:szCs w:val="20"/>
          <w:lang w:eastAsia="pl-PL"/>
        </w:rPr>
        <w:t xml:space="preserve">14 września 2016 r. Komisja Europejska ogłosiła komunikat w sprawie </w:t>
      </w:r>
      <w:r w:rsidRPr="007D063C">
        <w:rPr>
          <w:rFonts w:ascii="Times New Roman" w:hAnsi="Times New Roman" w:cs="Times New Roman"/>
          <w:noProof/>
          <w:sz w:val="20"/>
          <w:szCs w:val="20"/>
        </w:rPr>
        <w:t xml:space="preserve">przeglądu śródokresowego przeglądu wieloletnich ram finansowych (WRF) 2014-2020. </w:t>
      </w:r>
      <w:r w:rsidRPr="007D063C">
        <w:rPr>
          <w:rFonts w:ascii="Times New Roman" w:eastAsiaTheme="minorEastAsia" w:hAnsi="Times New Roman" w:cs="Times New Roman"/>
          <w:color w:val="000000" w:themeColor="text1"/>
          <w:kern w:val="24"/>
          <w:sz w:val="20"/>
          <w:szCs w:val="20"/>
          <w:lang w:eastAsia="pl-PL"/>
        </w:rPr>
        <w:t xml:space="preserve">Komunikat przedstawiał ocenę funkcjonowania wspólnego budżetu w aktualnej sytuacji finansowej krajów członkowskich. </w:t>
      </w:r>
      <w:r w:rsidRPr="007D063C">
        <w:rPr>
          <w:rFonts w:ascii="Times New Roman" w:eastAsia="Times New Roman" w:hAnsi="Times New Roman" w:cs="Times New Roman"/>
          <w:sz w:val="20"/>
          <w:szCs w:val="20"/>
          <w:lang w:eastAsia="pl-PL"/>
        </w:rPr>
        <w:t xml:space="preserve">W ramach przeglądu </w:t>
      </w:r>
      <w:r w:rsidRPr="007D063C">
        <w:rPr>
          <w:rFonts w:ascii="Times New Roman" w:hAnsi="Times New Roman" w:cs="Times New Roman"/>
          <w:noProof/>
          <w:sz w:val="20"/>
          <w:szCs w:val="20"/>
        </w:rPr>
        <w:t xml:space="preserve">KE przedłożyła projekt rozporządzenia (tzw. OMNIBUS) ukierunkowany na realizację dwóch z najważniejszych celów WRF: dalszego uproszczenia i zwiększenia elastyczności WPR. Projekt ten ma szczególne znaczenie, jako </w:t>
      </w:r>
      <w:r w:rsidRPr="007D063C">
        <w:rPr>
          <w:rFonts w:ascii="Times New Roman" w:hAnsi="Times New Roman" w:cs="Times New Roman"/>
          <w:noProof/>
          <w:sz w:val="20"/>
          <w:szCs w:val="20"/>
        </w:rPr>
        <w:lastRenderedPageBreak/>
        <w:t>że KE traktuje zap</w:t>
      </w:r>
      <w:r w:rsidRPr="007D063C">
        <w:rPr>
          <w:rFonts w:ascii="Times New Roman" w:eastAsia="Times New Roman" w:hAnsi="Times New Roman" w:cs="Times New Roman"/>
          <w:noProof/>
          <w:sz w:val="20"/>
          <w:szCs w:val="20"/>
          <w:lang w:eastAsia="pl-PL"/>
        </w:rPr>
        <w:t>roponowane uproszczenia</w:t>
      </w:r>
      <w:r w:rsidRPr="009524E5">
        <w:rPr>
          <w:rFonts w:ascii="Times New Roman" w:eastAsia="Times New Roman" w:hAnsi="Times New Roman" w:cs="Times New Roman"/>
          <w:noProof/>
          <w:sz w:val="20"/>
          <w:szCs w:val="20"/>
          <w:lang w:eastAsia="pl-PL"/>
        </w:rPr>
        <w:t xml:space="preserve"> i zwiększoną elastyczność zasad finansowania z funduszy UE, jako silne zainicjowanie procesu zmian ukierunkowanych na skuteczniejsze i efektywniejsze wykorzystywanie unijnych </w:t>
      </w:r>
      <w:r w:rsidR="007F7ED7" w:rsidRPr="009524E5">
        <w:rPr>
          <w:rFonts w:ascii="Times New Roman" w:eastAsia="Times New Roman" w:hAnsi="Times New Roman" w:cs="Times New Roman"/>
          <w:noProof/>
          <w:sz w:val="20"/>
          <w:szCs w:val="20"/>
          <w:lang w:eastAsia="pl-PL"/>
        </w:rPr>
        <w:t>ś</w:t>
      </w:r>
      <w:r w:rsidRPr="009524E5">
        <w:rPr>
          <w:rFonts w:ascii="Times New Roman" w:eastAsia="Times New Roman" w:hAnsi="Times New Roman" w:cs="Times New Roman"/>
          <w:noProof/>
          <w:sz w:val="20"/>
          <w:szCs w:val="20"/>
          <w:lang w:eastAsia="pl-PL"/>
        </w:rPr>
        <w:t xml:space="preserve">rodków finansowych, a tym samym </w:t>
      </w:r>
      <w:r w:rsidRPr="007D063C">
        <w:rPr>
          <w:rFonts w:ascii="Times New Roman" w:eastAsia="Times New Roman" w:hAnsi="Times New Roman" w:cs="Times New Roman"/>
          <w:noProof/>
          <w:sz w:val="20"/>
          <w:szCs w:val="20"/>
          <w:lang w:eastAsia="pl-PL"/>
        </w:rPr>
        <w:t>sprzyjają</w:t>
      </w:r>
      <w:r w:rsidR="003B29D0" w:rsidRPr="007D063C">
        <w:rPr>
          <w:rFonts w:ascii="Times New Roman" w:eastAsia="Times New Roman" w:hAnsi="Times New Roman" w:cs="Times New Roman"/>
          <w:noProof/>
          <w:sz w:val="20"/>
          <w:szCs w:val="20"/>
          <w:lang w:eastAsia="pl-PL"/>
        </w:rPr>
        <w:t>ce</w:t>
      </w:r>
      <w:r w:rsidRPr="007D063C">
        <w:rPr>
          <w:rFonts w:ascii="Times New Roman" w:eastAsia="Times New Roman" w:hAnsi="Times New Roman" w:cs="Times New Roman"/>
          <w:noProof/>
          <w:sz w:val="20"/>
          <w:szCs w:val="20"/>
          <w:lang w:eastAsia="pl-PL"/>
        </w:rPr>
        <w:t xml:space="preserve"> przygotowaniu nowej generacji programów na następną pe</w:t>
      </w:r>
      <w:r w:rsidR="007D063C">
        <w:rPr>
          <w:rFonts w:ascii="Times New Roman" w:eastAsia="Times New Roman" w:hAnsi="Times New Roman" w:cs="Times New Roman"/>
          <w:noProof/>
          <w:sz w:val="20"/>
          <w:szCs w:val="20"/>
          <w:lang w:eastAsia="pl-PL"/>
        </w:rPr>
        <w:t>rspektywę finansową po 2020 r</w:t>
      </w:r>
      <w:r w:rsidRPr="007D063C">
        <w:rPr>
          <w:rFonts w:ascii="Times New Roman" w:eastAsia="Times New Roman" w:hAnsi="Times New Roman" w:cs="Times New Roman"/>
          <w:noProof/>
          <w:sz w:val="20"/>
          <w:szCs w:val="20"/>
          <w:lang w:eastAsia="pl-PL"/>
        </w:rPr>
        <w:t>.</w:t>
      </w:r>
    </w:p>
    <w:p w14:paraId="194DB99F" w14:textId="77CE3FC9" w:rsidR="001A167E" w:rsidRPr="009524E5" w:rsidRDefault="001A167E" w:rsidP="007D063C">
      <w:pPr>
        <w:spacing w:before="120" w:after="120" w:line="240" w:lineRule="auto"/>
        <w:contextualSpacing/>
        <w:jc w:val="both"/>
        <w:rPr>
          <w:rFonts w:ascii="Times New Roman" w:hAnsi="Times New Roman" w:cs="Times New Roman"/>
          <w:noProof/>
          <w:sz w:val="20"/>
          <w:szCs w:val="20"/>
        </w:rPr>
      </w:pPr>
      <w:r w:rsidRPr="007D063C">
        <w:rPr>
          <w:rFonts w:ascii="Times New Roman" w:eastAsiaTheme="minorEastAsia" w:hAnsi="Times New Roman" w:cs="Times New Roman"/>
          <w:color w:val="000000" w:themeColor="text1"/>
          <w:kern w:val="24"/>
          <w:sz w:val="20"/>
          <w:szCs w:val="20"/>
        </w:rPr>
        <w:t>Zaproponowane zmiany mają p</w:t>
      </w:r>
      <w:r w:rsidRPr="007D063C">
        <w:rPr>
          <w:rFonts w:ascii="Times New Roman" w:hAnsi="Times New Roman" w:cs="Times New Roman"/>
          <w:noProof/>
          <w:sz w:val="20"/>
          <w:szCs w:val="20"/>
        </w:rPr>
        <w:t xml:space="preserve">rowadzić do usunięcia barier, zapewnienia synergii i komplementarności europejskich funduszy strukturalnych i inwestycyjnych, a także do poprawy wypełniania wymogów dotyczących wdrażania i kontroli. Uproszczone i bardziej elastyczne zasady finansowania mają przyczynić się do zoptymalizowania wydatków i mają stanowić jeden z kluczowych elementów inicjatywy KE, zatytułowanej </w:t>
      </w:r>
      <w:r w:rsidRPr="007D063C">
        <w:rPr>
          <w:rFonts w:ascii="Times New Roman" w:hAnsi="Times New Roman" w:cs="Times New Roman"/>
          <w:i/>
          <w:noProof/>
          <w:sz w:val="20"/>
          <w:szCs w:val="20"/>
        </w:rPr>
        <w:t>Budżet zorientowany na rezultaty</w:t>
      </w:r>
      <w:r w:rsidRPr="007D063C">
        <w:rPr>
          <w:rFonts w:ascii="Times New Roman" w:hAnsi="Times New Roman" w:cs="Times New Roman"/>
          <w:noProof/>
          <w:sz w:val="20"/>
          <w:szCs w:val="20"/>
        </w:rPr>
        <w:t>. Szczególny nacisk położono na kluczowe obszary</w:t>
      </w:r>
      <w:r w:rsidRPr="009524E5">
        <w:rPr>
          <w:rFonts w:ascii="Times New Roman" w:hAnsi="Times New Roman" w:cs="Times New Roman"/>
          <w:noProof/>
          <w:sz w:val="20"/>
          <w:szCs w:val="20"/>
        </w:rPr>
        <w:t xml:space="preserve">: </w:t>
      </w:r>
    </w:p>
    <w:p w14:paraId="55D6C886" w14:textId="77777777" w:rsidR="001A167E" w:rsidRPr="007D063C" w:rsidRDefault="001A167E" w:rsidP="007D063C">
      <w:pPr>
        <w:pStyle w:val="ListParagraph"/>
        <w:numPr>
          <w:ilvl w:val="0"/>
          <w:numId w:val="15"/>
        </w:numPr>
        <w:spacing w:before="120" w:after="120" w:line="240" w:lineRule="auto"/>
        <w:jc w:val="both"/>
        <w:rPr>
          <w:rFonts w:ascii="Times New Roman" w:hAnsi="Times New Roman" w:cs="Times New Roman"/>
          <w:color w:val="222222"/>
          <w:sz w:val="20"/>
          <w:szCs w:val="20"/>
        </w:rPr>
      </w:pPr>
      <w:r w:rsidRPr="007D063C">
        <w:rPr>
          <w:rFonts w:ascii="Times New Roman" w:hAnsi="Times New Roman" w:cs="Times New Roman"/>
          <w:noProof/>
          <w:sz w:val="20"/>
          <w:szCs w:val="20"/>
        </w:rPr>
        <w:t>uproszczenia dla benficjentów wsparcia finansowego,</w:t>
      </w:r>
    </w:p>
    <w:p w14:paraId="2BD7ACA0" w14:textId="77777777" w:rsidR="001A167E" w:rsidRPr="007D063C" w:rsidRDefault="001A167E" w:rsidP="007D063C">
      <w:pPr>
        <w:pStyle w:val="ListParagraph"/>
        <w:numPr>
          <w:ilvl w:val="0"/>
          <w:numId w:val="15"/>
        </w:numPr>
        <w:spacing w:before="120" w:after="120" w:line="240" w:lineRule="auto"/>
        <w:jc w:val="both"/>
        <w:rPr>
          <w:rFonts w:ascii="Times New Roman" w:hAnsi="Times New Roman" w:cs="Times New Roman"/>
          <w:color w:val="222222"/>
          <w:sz w:val="20"/>
          <w:szCs w:val="20"/>
        </w:rPr>
      </w:pPr>
      <w:r w:rsidRPr="007D063C">
        <w:rPr>
          <w:rFonts w:ascii="Times New Roman" w:hAnsi="Times New Roman" w:cs="Times New Roman"/>
          <w:noProof/>
          <w:sz w:val="20"/>
          <w:szCs w:val="20"/>
        </w:rPr>
        <w:t>przejście od wielu poziomów kontroli do wzajemnego uznawania wyników audytów, ocen lub zezwoleń, a także harmonizacji wymogów w zakresie sprawozdawczości,</w:t>
      </w:r>
      <w:r w:rsidRPr="007D063C">
        <w:rPr>
          <w:rFonts w:ascii="Times New Roman" w:hAnsi="Times New Roman" w:cs="Times New Roman"/>
          <w:bCs/>
          <w:sz w:val="20"/>
          <w:szCs w:val="20"/>
        </w:rPr>
        <w:t xml:space="preserve"> </w:t>
      </w:r>
    </w:p>
    <w:p w14:paraId="0C0637D7" w14:textId="77777777" w:rsidR="001A167E" w:rsidRPr="007D063C" w:rsidRDefault="001A167E" w:rsidP="007D063C">
      <w:pPr>
        <w:pStyle w:val="ListParagraph"/>
        <w:numPr>
          <w:ilvl w:val="0"/>
          <w:numId w:val="15"/>
        </w:numPr>
        <w:spacing w:before="120" w:after="120" w:line="240" w:lineRule="auto"/>
        <w:jc w:val="both"/>
        <w:rPr>
          <w:rFonts w:ascii="Times New Roman" w:hAnsi="Times New Roman" w:cs="Times New Roman"/>
          <w:color w:val="222222"/>
          <w:sz w:val="20"/>
          <w:szCs w:val="20"/>
        </w:rPr>
      </w:pPr>
      <w:r w:rsidRPr="007D063C">
        <w:rPr>
          <w:rFonts w:ascii="Times New Roman" w:hAnsi="Times New Roman" w:cs="Times New Roman"/>
          <w:noProof/>
          <w:sz w:val="20"/>
          <w:szCs w:val="20"/>
        </w:rPr>
        <w:t>umożliwienie stosowania ujednoliconego zbioru przepisów w odniesieniu do działań hybrydowych lub w przypadku łączenia środków lub instrumentów,</w:t>
      </w:r>
    </w:p>
    <w:p w14:paraId="6598F20B" w14:textId="77777777" w:rsidR="001A167E" w:rsidRPr="007D063C" w:rsidRDefault="001A167E" w:rsidP="007D063C">
      <w:pPr>
        <w:pStyle w:val="ListParagraph"/>
        <w:numPr>
          <w:ilvl w:val="0"/>
          <w:numId w:val="15"/>
        </w:numPr>
        <w:spacing w:before="120" w:after="120" w:line="240" w:lineRule="auto"/>
        <w:jc w:val="both"/>
        <w:rPr>
          <w:rFonts w:ascii="Times New Roman" w:hAnsi="Times New Roman" w:cs="Times New Roman"/>
          <w:color w:val="222222"/>
          <w:sz w:val="20"/>
          <w:szCs w:val="20"/>
        </w:rPr>
      </w:pPr>
      <w:r w:rsidRPr="007D063C">
        <w:rPr>
          <w:rFonts w:ascii="Times New Roman" w:hAnsi="Times New Roman" w:cs="Times New Roman"/>
          <w:bCs/>
          <w:sz w:val="20"/>
          <w:szCs w:val="20"/>
        </w:rPr>
        <w:t>umożliwienie szerszego i s</w:t>
      </w:r>
      <w:r w:rsidRPr="007D063C">
        <w:rPr>
          <w:rFonts w:ascii="Times New Roman" w:hAnsi="Times New Roman" w:cs="Times New Roman"/>
          <w:noProof/>
          <w:sz w:val="20"/>
          <w:szCs w:val="20"/>
        </w:rPr>
        <w:t>kuteczniejszego korzystaniae z instrumentów finansowych,</w:t>
      </w:r>
    </w:p>
    <w:p w14:paraId="378A8004" w14:textId="77777777" w:rsidR="001A167E" w:rsidRPr="007D063C" w:rsidRDefault="001A167E" w:rsidP="007D063C">
      <w:pPr>
        <w:pStyle w:val="ListParagraph"/>
        <w:numPr>
          <w:ilvl w:val="0"/>
          <w:numId w:val="15"/>
        </w:numPr>
        <w:spacing w:before="120" w:after="120" w:line="240" w:lineRule="auto"/>
        <w:jc w:val="both"/>
        <w:rPr>
          <w:rFonts w:ascii="Times New Roman" w:hAnsi="Times New Roman" w:cs="Times New Roman"/>
          <w:bCs/>
          <w:sz w:val="20"/>
          <w:szCs w:val="20"/>
        </w:rPr>
      </w:pPr>
      <w:r w:rsidRPr="007D063C">
        <w:rPr>
          <w:rFonts w:ascii="Times New Roman" w:hAnsi="Times New Roman" w:cs="Times New Roman"/>
          <w:noProof/>
          <w:sz w:val="20"/>
          <w:szCs w:val="20"/>
        </w:rPr>
        <w:t>elastyczniejsze zarządzanie budżetem,</w:t>
      </w:r>
      <w:r w:rsidRPr="007D063C">
        <w:rPr>
          <w:rFonts w:ascii="Times New Roman" w:hAnsi="Times New Roman" w:cs="Times New Roman"/>
          <w:bCs/>
          <w:sz w:val="20"/>
          <w:szCs w:val="20"/>
        </w:rPr>
        <w:t xml:space="preserve"> </w:t>
      </w:r>
    </w:p>
    <w:p w14:paraId="575DE222" w14:textId="77777777" w:rsidR="001A167E" w:rsidRPr="007D063C" w:rsidRDefault="001A167E" w:rsidP="007D063C">
      <w:pPr>
        <w:pStyle w:val="ListParagraph"/>
        <w:numPr>
          <w:ilvl w:val="0"/>
          <w:numId w:val="15"/>
        </w:numPr>
        <w:spacing w:before="120" w:after="120" w:line="240" w:lineRule="auto"/>
        <w:jc w:val="both"/>
        <w:rPr>
          <w:rFonts w:ascii="Times New Roman" w:hAnsi="Times New Roman" w:cs="Times New Roman"/>
          <w:bCs/>
          <w:sz w:val="20"/>
          <w:szCs w:val="20"/>
        </w:rPr>
      </w:pPr>
      <w:r w:rsidRPr="007D063C">
        <w:rPr>
          <w:rFonts w:ascii="Times New Roman" w:hAnsi="Times New Roman" w:cs="Times New Roman"/>
          <w:noProof/>
          <w:sz w:val="20"/>
          <w:szCs w:val="20"/>
        </w:rPr>
        <w:t>skoncentrowanie się na osiąganych rezultatach i usprawnienie sprawozdawczości,</w:t>
      </w:r>
      <w:r w:rsidRPr="007D063C">
        <w:rPr>
          <w:rFonts w:ascii="Times New Roman" w:hAnsi="Times New Roman" w:cs="Times New Roman"/>
          <w:bCs/>
          <w:sz w:val="20"/>
          <w:szCs w:val="20"/>
        </w:rPr>
        <w:t xml:space="preserve"> </w:t>
      </w:r>
    </w:p>
    <w:p w14:paraId="47B91389" w14:textId="77777777" w:rsidR="001A167E" w:rsidRPr="007D063C" w:rsidRDefault="001A167E" w:rsidP="007D063C">
      <w:pPr>
        <w:pStyle w:val="ListParagraph"/>
        <w:numPr>
          <w:ilvl w:val="0"/>
          <w:numId w:val="15"/>
        </w:numPr>
        <w:spacing w:before="120" w:after="120" w:line="240" w:lineRule="auto"/>
        <w:jc w:val="both"/>
        <w:rPr>
          <w:rFonts w:ascii="Times New Roman" w:hAnsi="Times New Roman" w:cs="Times New Roman"/>
          <w:bCs/>
          <w:sz w:val="20"/>
          <w:szCs w:val="20"/>
        </w:rPr>
      </w:pPr>
      <w:r w:rsidRPr="007D063C">
        <w:rPr>
          <w:rFonts w:ascii="Times New Roman" w:hAnsi="Times New Roman" w:cs="Times New Roman"/>
          <w:noProof/>
          <w:sz w:val="20"/>
          <w:szCs w:val="20"/>
        </w:rPr>
        <w:t>uproszczenie administrowania funduszami i zmniejszenie administracji w UE,</w:t>
      </w:r>
      <w:r w:rsidRPr="007D063C">
        <w:rPr>
          <w:rFonts w:ascii="Times New Roman" w:hAnsi="Times New Roman" w:cs="Times New Roman"/>
          <w:bCs/>
          <w:sz w:val="20"/>
          <w:szCs w:val="20"/>
        </w:rPr>
        <w:t xml:space="preserve"> </w:t>
      </w:r>
    </w:p>
    <w:p w14:paraId="222F38CD" w14:textId="77777777" w:rsidR="001A167E" w:rsidRPr="007D063C" w:rsidRDefault="001A167E" w:rsidP="007D063C">
      <w:pPr>
        <w:pStyle w:val="ListParagraph"/>
        <w:numPr>
          <w:ilvl w:val="0"/>
          <w:numId w:val="15"/>
        </w:numPr>
        <w:spacing w:before="120" w:after="120" w:line="240" w:lineRule="auto"/>
        <w:jc w:val="both"/>
        <w:rPr>
          <w:rFonts w:ascii="Times New Roman" w:hAnsi="Times New Roman" w:cs="Times New Roman"/>
          <w:sz w:val="20"/>
          <w:szCs w:val="20"/>
        </w:rPr>
      </w:pPr>
      <w:r w:rsidRPr="007D063C">
        <w:rPr>
          <w:rFonts w:ascii="Times New Roman" w:hAnsi="Times New Roman" w:cs="Times New Roman"/>
          <w:noProof/>
          <w:sz w:val="20"/>
          <w:szCs w:val="20"/>
        </w:rPr>
        <w:t>zwiększenie zaangażowania obywateli.</w:t>
      </w:r>
      <w:r w:rsidRPr="007D063C">
        <w:rPr>
          <w:rFonts w:ascii="Times New Roman" w:hAnsi="Times New Roman" w:cs="Times New Roman"/>
          <w:bCs/>
          <w:sz w:val="20"/>
          <w:szCs w:val="20"/>
        </w:rPr>
        <w:t xml:space="preserve"> </w:t>
      </w:r>
    </w:p>
    <w:p w14:paraId="62816BDD" w14:textId="544D9D58" w:rsidR="001A167E" w:rsidRPr="007D063C" w:rsidRDefault="001A167E" w:rsidP="007D063C">
      <w:pPr>
        <w:spacing w:before="120" w:after="120" w:line="240" w:lineRule="auto"/>
        <w:contextualSpacing/>
        <w:jc w:val="both"/>
        <w:rPr>
          <w:rFonts w:ascii="Times New Roman" w:eastAsiaTheme="minorEastAsia" w:hAnsi="Times New Roman" w:cs="Times New Roman"/>
          <w:color w:val="000000" w:themeColor="text1"/>
          <w:kern w:val="24"/>
          <w:sz w:val="20"/>
          <w:szCs w:val="20"/>
          <w:lang w:eastAsia="pl-PL"/>
        </w:rPr>
      </w:pPr>
      <w:r w:rsidRPr="009524E5">
        <w:rPr>
          <w:rFonts w:ascii="Times New Roman" w:eastAsia="Times New Roman" w:hAnsi="Times New Roman" w:cs="Times New Roman"/>
          <w:sz w:val="20"/>
          <w:szCs w:val="20"/>
          <w:lang w:eastAsia="pl-PL"/>
        </w:rPr>
        <w:t>W komu</w:t>
      </w:r>
      <w:r w:rsidRPr="009524E5">
        <w:rPr>
          <w:rFonts w:ascii="Times New Roman" w:eastAsiaTheme="minorEastAsia" w:hAnsi="Times New Roman" w:cs="Times New Roman"/>
          <w:color w:val="000000" w:themeColor="text1"/>
          <w:kern w:val="24"/>
          <w:sz w:val="20"/>
          <w:szCs w:val="20"/>
          <w:lang w:eastAsia="pl-PL"/>
        </w:rPr>
        <w:t xml:space="preserve">nikacie zawarto </w:t>
      </w:r>
      <w:r w:rsidR="007D063C">
        <w:rPr>
          <w:rFonts w:ascii="Times New Roman" w:eastAsiaTheme="minorEastAsia" w:hAnsi="Times New Roman" w:cs="Times New Roman"/>
          <w:color w:val="000000" w:themeColor="text1"/>
          <w:kern w:val="24"/>
          <w:sz w:val="20"/>
          <w:szCs w:val="20"/>
          <w:lang w:eastAsia="pl-PL"/>
        </w:rPr>
        <w:t xml:space="preserve">szereg propozycji zmian </w:t>
      </w:r>
      <w:r w:rsidRPr="009524E5">
        <w:rPr>
          <w:rFonts w:ascii="Times New Roman" w:eastAsiaTheme="minorEastAsia" w:hAnsi="Times New Roman" w:cs="Times New Roman"/>
          <w:color w:val="000000" w:themeColor="text1"/>
          <w:kern w:val="24"/>
          <w:sz w:val="20"/>
          <w:szCs w:val="20"/>
          <w:lang w:eastAsia="pl-PL"/>
        </w:rPr>
        <w:t>WPR, odnoszących się do  wszystkich czterech rozporządzeń podstawowych z 2013 r. regulujących funkcjonowanie WPR, tj.: płatności bezpośrednich, rozwoju obszarów wiejskich, wspólnej organizacji rynków i tzw. rozporządzenia horyzontalnego.</w:t>
      </w:r>
      <w:r w:rsidR="007D063C">
        <w:rPr>
          <w:rFonts w:ascii="Times New Roman" w:eastAsiaTheme="minorEastAsia" w:hAnsi="Times New Roman" w:cs="Times New Roman"/>
          <w:color w:val="000000" w:themeColor="text1"/>
          <w:kern w:val="24"/>
          <w:sz w:val="20"/>
          <w:szCs w:val="20"/>
          <w:lang w:eastAsia="pl-PL"/>
        </w:rPr>
        <w:t xml:space="preserve"> </w:t>
      </w:r>
      <w:r w:rsidRPr="009524E5">
        <w:rPr>
          <w:rFonts w:ascii="Times New Roman" w:eastAsiaTheme="minorEastAsia" w:hAnsi="Times New Roman" w:cs="Times New Roman"/>
          <w:color w:val="000000" w:themeColor="text1"/>
          <w:kern w:val="24"/>
          <w:sz w:val="20"/>
          <w:szCs w:val="20"/>
          <w:lang w:eastAsia="pl-PL"/>
        </w:rPr>
        <w:t xml:space="preserve">W projekcie rozporządzenia </w:t>
      </w:r>
      <w:r w:rsidR="007D063C">
        <w:rPr>
          <w:rFonts w:ascii="Times New Roman" w:eastAsiaTheme="minorEastAsia" w:hAnsi="Times New Roman" w:cs="Times New Roman"/>
          <w:color w:val="000000" w:themeColor="text1"/>
          <w:kern w:val="24"/>
          <w:sz w:val="20"/>
          <w:szCs w:val="20"/>
          <w:lang w:eastAsia="pl-PL"/>
        </w:rPr>
        <w:t>OMNIBUS</w:t>
      </w:r>
      <w:r w:rsidRPr="009524E5">
        <w:rPr>
          <w:rFonts w:ascii="Times New Roman" w:eastAsiaTheme="minorEastAsia" w:hAnsi="Times New Roman" w:cs="Times New Roman"/>
          <w:color w:val="000000" w:themeColor="text1"/>
          <w:kern w:val="24"/>
          <w:sz w:val="20"/>
          <w:szCs w:val="20"/>
          <w:lang w:eastAsia="pl-PL"/>
        </w:rPr>
        <w:t xml:space="preserve"> istotne zmiany zaproponowano </w:t>
      </w:r>
      <w:r w:rsidR="003B29D0" w:rsidRPr="009524E5">
        <w:rPr>
          <w:rFonts w:ascii="Times New Roman" w:eastAsiaTheme="minorEastAsia" w:hAnsi="Times New Roman" w:cs="Times New Roman"/>
          <w:color w:val="000000" w:themeColor="text1"/>
          <w:kern w:val="24"/>
          <w:sz w:val="20"/>
          <w:szCs w:val="20"/>
          <w:lang w:eastAsia="pl-PL"/>
        </w:rPr>
        <w:t xml:space="preserve">odnośnie </w:t>
      </w:r>
      <w:r w:rsidRPr="009524E5">
        <w:rPr>
          <w:rFonts w:ascii="Times New Roman" w:eastAsiaTheme="minorEastAsia" w:hAnsi="Times New Roman" w:cs="Times New Roman"/>
          <w:color w:val="000000" w:themeColor="text1"/>
          <w:kern w:val="24"/>
          <w:sz w:val="20"/>
          <w:szCs w:val="20"/>
          <w:lang w:eastAsia="pl-PL"/>
        </w:rPr>
        <w:t xml:space="preserve">możliwości stosowania specyficznych narzędzi stabilizacji dochodów. Kraje członkowskie uzyskały możliwość zaprojektowania narzędzi ukierunkowanych na konkretne sektory produkcji, które zamierzają uczynić bardziej atrakcyjne dla rolników. Propozycje te są również odpowiedzią na potrzebę zapewnienia skuteczniejszych instrumentów wsparcia rolników w okresie zjawisk kryzysowych – szoków cenowych - na rynkach rolnych. </w:t>
      </w:r>
      <w:r w:rsidRPr="007D063C">
        <w:rPr>
          <w:rFonts w:ascii="Times New Roman" w:eastAsiaTheme="minorEastAsia" w:hAnsi="Times New Roman" w:cs="Times New Roman"/>
          <w:color w:val="000000" w:themeColor="text1"/>
          <w:kern w:val="24"/>
          <w:sz w:val="20"/>
          <w:szCs w:val="20"/>
          <w:lang w:eastAsia="pl-PL"/>
        </w:rPr>
        <w:t>Zaproponowano również wprowadzenie w znacznie szerszym zakresie instrumentów finansowych</w:t>
      </w:r>
      <w:r w:rsidRPr="009524E5">
        <w:rPr>
          <w:rFonts w:ascii="Times New Roman" w:eastAsiaTheme="minorEastAsia" w:hAnsi="Times New Roman" w:cs="Times New Roman"/>
          <w:color w:val="000000" w:themeColor="text1"/>
          <w:kern w:val="24"/>
          <w:sz w:val="20"/>
          <w:szCs w:val="20"/>
          <w:lang w:eastAsia="pl-PL"/>
        </w:rPr>
        <w:t xml:space="preserve"> celem zapewnienia dopływu kapitału, ukierunkowan</w:t>
      </w:r>
      <w:r w:rsidR="003B77FF" w:rsidRPr="009524E5">
        <w:rPr>
          <w:rFonts w:ascii="Times New Roman" w:eastAsiaTheme="minorEastAsia" w:hAnsi="Times New Roman" w:cs="Times New Roman"/>
          <w:color w:val="000000" w:themeColor="text1"/>
          <w:kern w:val="24"/>
          <w:sz w:val="20"/>
          <w:szCs w:val="20"/>
          <w:lang w:eastAsia="pl-PL"/>
        </w:rPr>
        <w:t>ego</w:t>
      </w:r>
      <w:r w:rsidRPr="009524E5">
        <w:rPr>
          <w:rFonts w:ascii="Times New Roman" w:eastAsiaTheme="minorEastAsia" w:hAnsi="Times New Roman" w:cs="Times New Roman"/>
          <w:color w:val="000000" w:themeColor="text1"/>
          <w:kern w:val="24"/>
          <w:sz w:val="20"/>
          <w:szCs w:val="20"/>
          <w:lang w:eastAsia="pl-PL"/>
        </w:rPr>
        <w:t xml:space="preserve"> na realizację priorytetów PROW 2014-2020. Zmiany </w:t>
      </w:r>
      <w:r w:rsidR="003B77FF" w:rsidRPr="009524E5">
        <w:rPr>
          <w:rFonts w:ascii="Times New Roman" w:eastAsiaTheme="minorEastAsia" w:hAnsi="Times New Roman" w:cs="Times New Roman"/>
          <w:color w:val="000000" w:themeColor="text1"/>
          <w:kern w:val="24"/>
          <w:sz w:val="20"/>
          <w:szCs w:val="20"/>
          <w:lang w:eastAsia="pl-PL"/>
        </w:rPr>
        <w:t xml:space="preserve">te </w:t>
      </w:r>
      <w:r w:rsidRPr="009524E5">
        <w:rPr>
          <w:rFonts w:ascii="Times New Roman" w:eastAsiaTheme="minorEastAsia" w:hAnsi="Times New Roman" w:cs="Times New Roman"/>
          <w:color w:val="000000" w:themeColor="text1"/>
          <w:kern w:val="24"/>
          <w:sz w:val="20"/>
          <w:szCs w:val="20"/>
          <w:lang w:eastAsia="pl-PL"/>
        </w:rPr>
        <w:t xml:space="preserve">mają </w:t>
      </w:r>
      <w:r w:rsidR="00001ACB" w:rsidRPr="009524E5">
        <w:rPr>
          <w:rFonts w:ascii="Times New Roman" w:eastAsiaTheme="minorEastAsia" w:hAnsi="Times New Roman" w:cs="Times New Roman"/>
          <w:color w:val="000000" w:themeColor="text1"/>
          <w:kern w:val="24"/>
          <w:sz w:val="20"/>
          <w:szCs w:val="20"/>
          <w:lang w:eastAsia="pl-PL"/>
        </w:rPr>
        <w:t>ułatwić dostęp</w:t>
      </w:r>
      <w:r w:rsidRPr="009524E5">
        <w:rPr>
          <w:rFonts w:ascii="Times New Roman" w:eastAsiaTheme="minorEastAsia" w:hAnsi="Times New Roman" w:cs="Times New Roman"/>
          <w:color w:val="000000" w:themeColor="text1"/>
          <w:kern w:val="24"/>
          <w:sz w:val="20"/>
          <w:szCs w:val="20"/>
          <w:lang w:eastAsia="pl-PL"/>
        </w:rPr>
        <w:t xml:space="preserve"> do kapitału dla rolników, zwłaszcza młodych, dla których </w:t>
      </w:r>
      <w:r w:rsidR="00001ACB" w:rsidRPr="009524E5">
        <w:rPr>
          <w:rFonts w:ascii="Times New Roman" w:eastAsiaTheme="minorEastAsia" w:hAnsi="Times New Roman" w:cs="Times New Roman"/>
          <w:color w:val="000000" w:themeColor="text1"/>
          <w:kern w:val="24"/>
          <w:sz w:val="20"/>
          <w:szCs w:val="20"/>
          <w:lang w:eastAsia="pl-PL"/>
        </w:rPr>
        <w:t>uzyskanie</w:t>
      </w:r>
      <w:r w:rsidRPr="009524E5">
        <w:rPr>
          <w:rFonts w:ascii="Times New Roman" w:eastAsiaTheme="minorEastAsia" w:hAnsi="Times New Roman" w:cs="Times New Roman"/>
          <w:color w:val="000000" w:themeColor="text1"/>
          <w:kern w:val="24"/>
          <w:sz w:val="20"/>
          <w:szCs w:val="20"/>
          <w:lang w:eastAsia="pl-PL"/>
        </w:rPr>
        <w:t xml:space="preserve"> kredyt</w:t>
      </w:r>
      <w:r w:rsidR="007D063C">
        <w:rPr>
          <w:rFonts w:ascii="Times New Roman" w:eastAsiaTheme="minorEastAsia" w:hAnsi="Times New Roman" w:cs="Times New Roman"/>
          <w:color w:val="000000" w:themeColor="text1"/>
          <w:kern w:val="24"/>
          <w:sz w:val="20"/>
          <w:szCs w:val="20"/>
          <w:lang w:eastAsia="pl-PL"/>
        </w:rPr>
        <w:t>u</w:t>
      </w:r>
      <w:r w:rsidRPr="009524E5">
        <w:rPr>
          <w:rFonts w:ascii="Times New Roman" w:eastAsiaTheme="minorEastAsia" w:hAnsi="Times New Roman" w:cs="Times New Roman"/>
          <w:color w:val="000000" w:themeColor="text1"/>
          <w:kern w:val="24"/>
          <w:sz w:val="20"/>
          <w:szCs w:val="20"/>
          <w:lang w:eastAsia="pl-PL"/>
        </w:rPr>
        <w:t xml:space="preserve"> jest ciągłym problemem. Ogólnym celem jest zapewnienie lepszego ukierunkowania środków publicznych (</w:t>
      </w:r>
      <w:r w:rsidRPr="009524E5">
        <w:rPr>
          <w:rFonts w:ascii="Times New Roman" w:eastAsiaTheme="minorEastAsia" w:hAnsi="Times New Roman" w:cs="Times New Roman"/>
          <w:i/>
          <w:color w:val="000000" w:themeColor="text1"/>
          <w:kern w:val="24"/>
          <w:sz w:val="20"/>
          <w:szCs w:val="20"/>
          <w:lang w:eastAsia="pl-PL"/>
        </w:rPr>
        <w:t>targeting)</w:t>
      </w:r>
      <w:r w:rsidRPr="009524E5">
        <w:rPr>
          <w:rFonts w:ascii="Times New Roman" w:eastAsiaTheme="minorEastAsia" w:hAnsi="Times New Roman" w:cs="Times New Roman"/>
          <w:color w:val="000000" w:themeColor="text1"/>
          <w:kern w:val="24"/>
          <w:sz w:val="20"/>
          <w:szCs w:val="20"/>
          <w:lang w:eastAsia="pl-PL"/>
        </w:rPr>
        <w:t xml:space="preserve"> i zwiększenie konkurencyjności sektora rolnego.</w:t>
      </w:r>
    </w:p>
    <w:p w14:paraId="1A13D734" w14:textId="0EBF5129" w:rsidR="001A167E" w:rsidRPr="009524E5" w:rsidRDefault="001A167E" w:rsidP="007D063C">
      <w:pPr>
        <w:spacing w:before="120" w:after="120" w:line="240" w:lineRule="auto"/>
        <w:contextualSpacing/>
        <w:jc w:val="both"/>
        <w:rPr>
          <w:rFonts w:ascii="Times New Roman" w:hAnsi="Times New Roman" w:cs="Times New Roman"/>
          <w:sz w:val="20"/>
          <w:szCs w:val="20"/>
        </w:rPr>
      </w:pPr>
      <w:r w:rsidRPr="009524E5">
        <w:rPr>
          <w:rFonts w:ascii="Times New Roman" w:eastAsiaTheme="minorEastAsia" w:hAnsi="Times New Roman" w:cs="Times New Roman"/>
          <w:color w:val="000000" w:themeColor="text1"/>
          <w:kern w:val="24"/>
          <w:sz w:val="20"/>
          <w:szCs w:val="20"/>
          <w:lang w:eastAsia="pl-PL"/>
        </w:rPr>
        <w:t xml:space="preserve">Zgodnie z założeniami, proponowane zmiany powinny wejść w życie najpóźniej na początku 2018 roku. Jednakże aby to się stało, konieczne jest przeprowadzenie pełnej procedury współdecydowania, czyli dokonania uzgodnień w tzw. </w:t>
      </w:r>
      <w:r w:rsidR="003B29D0" w:rsidRPr="009524E5">
        <w:rPr>
          <w:rFonts w:ascii="Times New Roman" w:eastAsiaTheme="minorEastAsia" w:hAnsi="Times New Roman" w:cs="Times New Roman"/>
          <w:color w:val="000000" w:themeColor="text1"/>
          <w:kern w:val="24"/>
          <w:sz w:val="20"/>
          <w:szCs w:val="20"/>
          <w:lang w:eastAsia="pl-PL"/>
        </w:rPr>
        <w:t>T</w:t>
      </w:r>
      <w:r w:rsidRPr="009524E5">
        <w:rPr>
          <w:rFonts w:ascii="Times New Roman" w:eastAsiaTheme="minorEastAsia" w:hAnsi="Times New Roman" w:cs="Times New Roman"/>
          <w:color w:val="000000" w:themeColor="text1"/>
          <w:kern w:val="24"/>
          <w:sz w:val="20"/>
          <w:szCs w:val="20"/>
          <w:lang w:eastAsia="pl-PL"/>
        </w:rPr>
        <w:t xml:space="preserve">rilogu. </w:t>
      </w:r>
      <w:r w:rsidRPr="009524E5">
        <w:rPr>
          <w:rFonts w:ascii="Times New Roman" w:hAnsi="Times New Roman" w:cs="Times New Roman"/>
          <w:sz w:val="20"/>
          <w:szCs w:val="20"/>
        </w:rPr>
        <w:t xml:space="preserve">Aktualny stan uzgodnień wskazuje, że powyżej wskazany termin wejścia rozporządzenia w życie jest zagrożony. Fakt ten może mieć dalej idące skutki, bowiem zgodnie z zapowiedziami Komisarza Hogana, prace nad projektami rozporządzeń regulujących WPR 2020+, będą w prostej linii kontynuacją podejścia zainicjowanego w rozporządzeniu OMNIBUS. Dlatego też termin zakończenia prac nad </w:t>
      </w:r>
      <w:r w:rsidR="003B29D0" w:rsidRPr="009524E5">
        <w:rPr>
          <w:rFonts w:ascii="Times New Roman" w:hAnsi="Times New Roman" w:cs="Times New Roman"/>
          <w:sz w:val="20"/>
          <w:szCs w:val="20"/>
        </w:rPr>
        <w:t xml:space="preserve">rozporządzeniem </w:t>
      </w:r>
      <w:r w:rsidRPr="009524E5">
        <w:rPr>
          <w:rFonts w:ascii="Times New Roman" w:hAnsi="Times New Roman" w:cs="Times New Roman"/>
          <w:sz w:val="20"/>
          <w:szCs w:val="20"/>
        </w:rPr>
        <w:t>i jego wdrożenia może wpłynąć na przesunięcie w zaplanowanym kalendarzu prac nad przyszł</w:t>
      </w:r>
      <w:r w:rsidR="007D063C">
        <w:rPr>
          <w:rFonts w:ascii="Times New Roman" w:hAnsi="Times New Roman" w:cs="Times New Roman"/>
          <w:sz w:val="20"/>
          <w:szCs w:val="20"/>
        </w:rPr>
        <w:t>a</w:t>
      </w:r>
      <w:r w:rsidRPr="009524E5">
        <w:rPr>
          <w:rFonts w:ascii="Times New Roman" w:hAnsi="Times New Roman" w:cs="Times New Roman"/>
          <w:sz w:val="20"/>
          <w:szCs w:val="20"/>
        </w:rPr>
        <w:t xml:space="preserve"> WPR. Zgodnie zaś z terminarzem ogłoszonym przez komi</w:t>
      </w:r>
      <w:r w:rsidR="007D063C">
        <w:rPr>
          <w:rFonts w:ascii="Times New Roman" w:hAnsi="Times New Roman" w:cs="Times New Roman"/>
          <w:sz w:val="20"/>
          <w:szCs w:val="20"/>
        </w:rPr>
        <w:t>sarza Hogana</w:t>
      </w:r>
      <w:r w:rsidRPr="009524E5">
        <w:rPr>
          <w:rFonts w:ascii="Times New Roman" w:hAnsi="Times New Roman" w:cs="Times New Roman"/>
          <w:sz w:val="20"/>
          <w:szCs w:val="20"/>
        </w:rPr>
        <w:t xml:space="preserve">, komunikat w sprawie WPR 2020+ zostanie opublikowany w </w:t>
      </w:r>
      <w:r w:rsidRPr="009524E5">
        <w:rPr>
          <w:rFonts w:ascii="Times New Roman" w:hAnsi="Times New Roman" w:cs="Times New Roman"/>
          <w:sz w:val="20"/>
          <w:szCs w:val="20"/>
        </w:rPr>
        <w:lastRenderedPageBreak/>
        <w:t xml:space="preserve">listopadzie 2017 r., a projekty podstawowych rozporządzeń prawdopodobnie </w:t>
      </w:r>
      <w:r w:rsidR="00A745B8">
        <w:rPr>
          <w:rFonts w:ascii="Times New Roman" w:hAnsi="Times New Roman" w:cs="Times New Roman"/>
          <w:sz w:val="20"/>
          <w:szCs w:val="20"/>
        </w:rPr>
        <w:t xml:space="preserve">w pierwszej połowie </w:t>
      </w:r>
      <w:r w:rsidR="007D063C">
        <w:rPr>
          <w:rFonts w:ascii="Times New Roman" w:hAnsi="Times New Roman" w:cs="Times New Roman"/>
          <w:sz w:val="20"/>
          <w:szCs w:val="20"/>
        </w:rPr>
        <w:t>2018 r</w:t>
      </w:r>
      <w:r w:rsidRPr="009524E5">
        <w:rPr>
          <w:rFonts w:ascii="Times New Roman" w:hAnsi="Times New Roman" w:cs="Times New Roman"/>
          <w:sz w:val="20"/>
          <w:szCs w:val="20"/>
        </w:rPr>
        <w:t>.</w:t>
      </w:r>
    </w:p>
    <w:p w14:paraId="0633982C" w14:textId="77777777" w:rsidR="001A167E" w:rsidRDefault="001A167E" w:rsidP="007D063C">
      <w:pPr>
        <w:pStyle w:val="Normln"/>
        <w:spacing w:before="120" w:after="120"/>
        <w:jc w:val="both"/>
        <w:rPr>
          <w:rFonts w:ascii="Times New Roman" w:hAnsi="Times New Roman"/>
          <w:sz w:val="20"/>
          <w:szCs w:val="20"/>
        </w:rPr>
      </w:pPr>
      <w:r w:rsidRPr="009524E5">
        <w:rPr>
          <w:rFonts w:ascii="Times New Roman" w:hAnsi="Times New Roman"/>
          <w:sz w:val="20"/>
          <w:szCs w:val="20"/>
        </w:rPr>
        <w:t>Biorąc ponadto pod uwagę termin wyborów do Parlamentu Europejskiego (maj 2019 r.), czas na dopracowanie regulacji prawnych i podjęcie decyzji jest niezwykle krótki. Wielce wątpliwym się staje, aby szanse na głębsze zmiany w strukturze i ukierunkowaniu WPR 2020+, zostały wykorzystane i jej kształt został uzgodniony w trakcie obecnej kadencji Parlamentu Europejskiego i Komisji Europejskiej.</w:t>
      </w:r>
    </w:p>
    <w:p w14:paraId="3C090269" w14:textId="77777777" w:rsidR="007D063C" w:rsidRPr="009524E5" w:rsidRDefault="007D063C" w:rsidP="007D063C">
      <w:pPr>
        <w:pStyle w:val="Normln"/>
        <w:spacing w:before="120" w:after="120"/>
        <w:jc w:val="both"/>
        <w:rPr>
          <w:rFonts w:ascii="Times New Roman" w:hAnsi="Times New Roman"/>
          <w:sz w:val="20"/>
          <w:szCs w:val="20"/>
        </w:rPr>
      </w:pPr>
    </w:p>
    <w:p w14:paraId="33DBE08A" w14:textId="35330BF4" w:rsidR="001A167E" w:rsidRPr="00867B8B" w:rsidRDefault="003B29D0" w:rsidP="007D063C">
      <w:pPr>
        <w:pStyle w:val="Normln"/>
        <w:numPr>
          <w:ilvl w:val="0"/>
          <w:numId w:val="9"/>
        </w:numPr>
        <w:spacing w:before="120" w:after="120"/>
        <w:jc w:val="both"/>
        <w:rPr>
          <w:rFonts w:ascii="Arial" w:hAnsi="Arial" w:cs="Arial"/>
          <w:b/>
          <w:sz w:val="24"/>
          <w:szCs w:val="24"/>
        </w:rPr>
      </w:pPr>
      <w:r>
        <w:rPr>
          <w:rFonts w:ascii="Arial" w:hAnsi="Arial" w:cs="Arial"/>
          <w:b/>
          <w:sz w:val="24"/>
          <w:szCs w:val="24"/>
        </w:rPr>
        <w:t>Założenia do wstępnej oceny wpływu proponowanych przez Komisję Europejską wariantów przyszłej WPR 2020+ na rozwój sektora rolno-spożywczego w UE</w:t>
      </w:r>
    </w:p>
    <w:p w14:paraId="24AB9679" w14:textId="77777777" w:rsidR="007D063C" w:rsidRPr="00C87342" w:rsidRDefault="007D063C" w:rsidP="009524E5">
      <w:pPr>
        <w:spacing w:before="120" w:after="120" w:line="240" w:lineRule="auto"/>
        <w:jc w:val="both"/>
        <w:rPr>
          <w:rFonts w:ascii="Times New Roman" w:hAnsi="Times New Roman" w:cs="Times New Roman"/>
          <w:sz w:val="20"/>
          <w:szCs w:val="20"/>
        </w:rPr>
      </w:pPr>
    </w:p>
    <w:p w14:paraId="18035FF5" w14:textId="6FB58848" w:rsidR="001A167E" w:rsidRPr="007D063C" w:rsidRDefault="001A167E" w:rsidP="007D063C">
      <w:pPr>
        <w:spacing w:before="120" w:after="120" w:line="240" w:lineRule="auto"/>
        <w:jc w:val="both"/>
        <w:rPr>
          <w:rFonts w:ascii="Times New Roman" w:hAnsi="Times New Roman" w:cs="Times New Roman"/>
          <w:sz w:val="20"/>
          <w:szCs w:val="20"/>
        </w:rPr>
      </w:pPr>
      <w:r w:rsidRPr="009524E5">
        <w:rPr>
          <w:rFonts w:ascii="Times New Roman" w:hAnsi="Times New Roman" w:cs="Times New Roman"/>
          <w:sz w:val="20"/>
          <w:szCs w:val="20"/>
        </w:rPr>
        <w:t>Pewne wyobrażenie o rozważanych kierunkach zmian WPR 2020+ przynosi</w:t>
      </w:r>
      <w:r w:rsidR="007D063C">
        <w:rPr>
          <w:rFonts w:ascii="Times New Roman" w:hAnsi="Times New Roman" w:cs="Times New Roman"/>
          <w:sz w:val="20"/>
          <w:szCs w:val="20"/>
        </w:rPr>
        <w:t xml:space="preserve"> inicjatywa KE z 2.10.</w:t>
      </w:r>
      <w:r w:rsidRPr="009524E5">
        <w:rPr>
          <w:rFonts w:ascii="Times New Roman" w:hAnsi="Times New Roman" w:cs="Times New Roman"/>
          <w:sz w:val="20"/>
          <w:szCs w:val="20"/>
        </w:rPr>
        <w:t xml:space="preserve">2017 r. pt. </w:t>
      </w:r>
      <w:r w:rsidRPr="009524E5">
        <w:rPr>
          <w:rFonts w:ascii="Times New Roman" w:hAnsi="Times New Roman" w:cs="Times New Roman"/>
          <w:i/>
          <w:sz w:val="20"/>
          <w:szCs w:val="20"/>
        </w:rPr>
        <w:t>Komunikat w sprawie modernizacji i uproszczenia WPR</w:t>
      </w:r>
      <w:r w:rsidRPr="009524E5">
        <w:rPr>
          <w:rFonts w:ascii="Times New Roman" w:hAnsi="Times New Roman" w:cs="Times New Roman"/>
          <w:sz w:val="20"/>
          <w:szCs w:val="20"/>
        </w:rPr>
        <w:t xml:space="preserve"> (ang. </w:t>
      </w:r>
      <w:r w:rsidRPr="009524E5">
        <w:rPr>
          <w:rFonts w:ascii="Times New Roman" w:hAnsi="Times New Roman" w:cs="Times New Roman"/>
          <w:i/>
          <w:sz w:val="20"/>
          <w:szCs w:val="20"/>
        </w:rPr>
        <w:t>Communication on Modernising and Simplifying Common Agricultural Policy</w:t>
      </w:r>
      <w:r w:rsidRPr="009524E5">
        <w:rPr>
          <w:rFonts w:ascii="Times New Roman" w:hAnsi="Times New Roman" w:cs="Times New Roman"/>
          <w:sz w:val="20"/>
          <w:szCs w:val="20"/>
        </w:rPr>
        <w:t>), w sprawie wstępnej oceny wpływu (</w:t>
      </w:r>
      <w:r w:rsidRPr="009524E5">
        <w:rPr>
          <w:rFonts w:ascii="Times New Roman" w:hAnsi="Times New Roman" w:cs="Times New Roman"/>
          <w:i/>
          <w:sz w:val="20"/>
          <w:szCs w:val="20"/>
        </w:rPr>
        <w:t>Inception Impact Assessment</w:t>
      </w:r>
      <w:r w:rsidRPr="009524E5">
        <w:rPr>
          <w:rFonts w:ascii="Times New Roman" w:hAnsi="Times New Roman" w:cs="Times New Roman"/>
          <w:sz w:val="20"/>
          <w:szCs w:val="20"/>
        </w:rPr>
        <w:t xml:space="preserve">) różnych opcji przyszłej polityki w wymiarze ekonomicznym, społecznym, środowiskowym i w sferze uproszczeń zmniejszających obciążenia </w:t>
      </w:r>
      <w:r w:rsidRPr="007D063C">
        <w:rPr>
          <w:rFonts w:ascii="Times New Roman" w:hAnsi="Times New Roman" w:cs="Times New Roman"/>
          <w:sz w:val="20"/>
          <w:szCs w:val="20"/>
        </w:rPr>
        <w:t>administracyjne</w:t>
      </w:r>
      <w:r w:rsidR="007D063C" w:rsidRPr="007D063C">
        <w:rPr>
          <w:rFonts w:ascii="Times New Roman" w:hAnsi="Times New Roman" w:cs="Times New Roman"/>
          <w:sz w:val="20"/>
          <w:szCs w:val="20"/>
        </w:rPr>
        <w:t xml:space="preserve"> [</w:t>
      </w:r>
      <w:r w:rsidR="007D063C" w:rsidRPr="007D063C">
        <w:rPr>
          <w:rFonts w:ascii="Times New Roman" w:hAnsi="Times New Roman" w:cs="Times New Roman"/>
          <w:i/>
          <w:sz w:val="20"/>
          <w:szCs w:val="20"/>
        </w:rPr>
        <w:t>Agricultural Policy Analysis</w:t>
      </w:r>
      <w:r w:rsidR="007D063C">
        <w:rPr>
          <w:rFonts w:ascii="Times New Roman" w:hAnsi="Times New Roman" w:cs="Times New Roman"/>
          <w:i/>
          <w:sz w:val="20"/>
          <w:szCs w:val="20"/>
        </w:rPr>
        <w:t xml:space="preserve"> </w:t>
      </w:r>
      <w:r w:rsidR="007D063C" w:rsidRPr="007D063C">
        <w:rPr>
          <w:rFonts w:ascii="Times New Roman" w:hAnsi="Times New Roman" w:cs="Times New Roman"/>
          <w:i/>
          <w:sz w:val="20"/>
          <w:szCs w:val="20"/>
        </w:rPr>
        <w:t>2017]</w:t>
      </w:r>
      <w:r w:rsidRPr="007D063C">
        <w:rPr>
          <w:rFonts w:ascii="Times New Roman" w:hAnsi="Times New Roman" w:cs="Times New Roman"/>
          <w:sz w:val="20"/>
          <w:szCs w:val="20"/>
        </w:rPr>
        <w:t>.</w:t>
      </w:r>
      <w:r w:rsidRPr="009524E5">
        <w:rPr>
          <w:rFonts w:ascii="Times New Roman" w:hAnsi="Times New Roman" w:cs="Times New Roman"/>
          <w:sz w:val="20"/>
          <w:szCs w:val="20"/>
        </w:rPr>
        <w:t xml:space="preserve"> Spodziewane jest, że wyniki oceny wpływu pięciu hipotetycznych wariantów WPR 2020+ będą dostępne w czwartym kwartale 2017 r., przed formalnym opublikowaniem przez Dyrekcję Generalną ds. Rolnictwo finalnego komunikatu w tej sprawie. </w:t>
      </w:r>
      <w:r w:rsidRPr="007D063C">
        <w:rPr>
          <w:rFonts w:ascii="Times New Roman" w:hAnsi="Times New Roman" w:cs="Times New Roman"/>
          <w:sz w:val="20"/>
          <w:szCs w:val="20"/>
        </w:rPr>
        <w:t>KE formatuje przyszłą WPR jako politykę opartą na trwałej orientacji rynkowej, uwzgledniającą wymogi ochrony środowiska, podejmującą działania łagodzące skutki zmian klimatycznych i zapewniającą żywotność obszarom wiejskim. Tak sformatowana polityka będzie miała za zadanie:</w:t>
      </w:r>
    </w:p>
    <w:p w14:paraId="5484F559" w14:textId="77777777" w:rsidR="001A167E" w:rsidRPr="009524E5" w:rsidRDefault="001A167E" w:rsidP="009524E5">
      <w:pPr>
        <w:pStyle w:val="ListParagraph"/>
        <w:numPr>
          <w:ilvl w:val="0"/>
          <w:numId w:val="7"/>
        </w:numPr>
        <w:spacing w:before="120" w:after="120" w:line="240" w:lineRule="auto"/>
        <w:jc w:val="both"/>
        <w:rPr>
          <w:rFonts w:ascii="Times New Roman" w:hAnsi="Times New Roman" w:cs="Times New Roman"/>
          <w:sz w:val="20"/>
          <w:szCs w:val="20"/>
        </w:rPr>
      </w:pPr>
      <w:r w:rsidRPr="009524E5">
        <w:rPr>
          <w:rFonts w:ascii="Times New Roman" w:hAnsi="Times New Roman" w:cs="Times New Roman"/>
          <w:sz w:val="20"/>
          <w:szCs w:val="20"/>
        </w:rPr>
        <w:t>promowanie rolnictwa inteligentnego (SMART) poprzez podniesienie konkurencyjności i innowacyjności, przy jednoczesnym zapewnieniu zrównoważonego rozwoju i zapewnieniu usług ekosystemowych,</w:t>
      </w:r>
    </w:p>
    <w:p w14:paraId="0BC52BC8" w14:textId="77777777" w:rsidR="001A167E" w:rsidRPr="009524E5" w:rsidRDefault="001A167E" w:rsidP="009524E5">
      <w:pPr>
        <w:pStyle w:val="ListParagraph"/>
        <w:numPr>
          <w:ilvl w:val="0"/>
          <w:numId w:val="7"/>
        </w:numPr>
        <w:spacing w:before="120" w:after="120" w:line="240" w:lineRule="auto"/>
        <w:jc w:val="both"/>
        <w:rPr>
          <w:rFonts w:ascii="Times New Roman" w:hAnsi="Times New Roman" w:cs="Times New Roman"/>
          <w:sz w:val="20"/>
          <w:szCs w:val="20"/>
        </w:rPr>
      </w:pPr>
      <w:r w:rsidRPr="009524E5">
        <w:rPr>
          <w:rFonts w:ascii="Times New Roman" w:hAnsi="Times New Roman" w:cs="Times New Roman"/>
          <w:sz w:val="20"/>
          <w:szCs w:val="20"/>
        </w:rPr>
        <w:t>promowanie rolnictwa odpornego (RESILENT) na wahania dochodów poprzez łagodzenie ich skutków oraz  wzmocnieniem pozycji rolników w łańcuchu żywnościowym,</w:t>
      </w:r>
    </w:p>
    <w:p w14:paraId="262D3FF8" w14:textId="77777777" w:rsidR="001A167E" w:rsidRPr="009524E5" w:rsidRDefault="001A167E" w:rsidP="009524E5">
      <w:pPr>
        <w:pStyle w:val="ListParagraph"/>
        <w:numPr>
          <w:ilvl w:val="0"/>
          <w:numId w:val="7"/>
        </w:numPr>
        <w:spacing w:before="120" w:after="120" w:line="240" w:lineRule="auto"/>
        <w:jc w:val="both"/>
        <w:rPr>
          <w:rFonts w:ascii="Times New Roman" w:hAnsi="Times New Roman" w:cs="Times New Roman"/>
          <w:sz w:val="20"/>
          <w:szCs w:val="20"/>
        </w:rPr>
      </w:pPr>
      <w:r w:rsidRPr="009524E5">
        <w:rPr>
          <w:rFonts w:ascii="Times New Roman" w:hAnsi="Times New Roman" w:cs="Times New Roman"/>
          <w:sz w:val="20"/>
          <w:szCs w:val="20"/>
        </w:rPr>
        <w:t>popieranie tętniącej życiem gospodarki wiejskiej (VIBRAT) poprzez sprzyjanie wzrostowi gospodarczemu i poziomu zatrudnienia na obszarach wiejskich oraz odmłodzenia rolników,</w:t>
      </w:r>
    </w:p>
    <w:p w14:paraId="30FBDC4B" w14:textId="72D72337" w:rsidR="001A167E" w:rsidRPr="009524E5" w:rsidRDefault="001A167E" w:rsidP="009524E5">
      <w:pPr>
        <w:pStyle w:val="ListParagraph"/>
        <w:numPr>
          <w:ilvl w:val="0"/>
          <w:numId w:val="7"/>
        </w:numPr>
        <w:spacing w:before="120" w:after="120" w:line="240" w:lineRule="auto"/>
        <w:jc w:val="both"/>
        <w:rPr>
          <w:rFonts w:ascii="Times New Roman" w:hAnsi="Times New Roman" w:cs="Times New Roman"/>
          <w:sz w:val="20"/>
          <w:szCs w:val="20"/>
        </w:rPr>
      </w:pPr>
      <w:r w:rsidRPr="009524E5">
        <w:rPr>
          <w:rFonts w:ascii="Times New Roman" w:hAnsi="Times New Roman" w:cs="Times New Roman"/>
          <w:sz w:val="20"/>
          <w:szCs w:val="20"/>
        </w:rPr>
        <w:t>budowanie więzi i integrowanie (BRIDGES) z innymi politykami unijnymi, w szczególności w zakresie: środowiska, zmian klimatycznych, zatrudnienia, spraw społecznych, edukacji, bezpieczeństwa żywności i łańcucha dostaw, żywienia, zdrowia publicznego, prawa konkurencji, handlu, badań i innowacyjności oraz migracji,</w:t>
      </w:r>
    </w:p>
    <w:p w14:paraId="493F02DC" w14:textId="77777777" w:rsidR="001A167E" w:rsidRPr="009524E5" w:rsidRDefault="001A167E" w:rsidP="009524E5">
      <w:pPr>
        <w:pStyle w:val="ListParagraph"/>
        <w:numPr>
          <w:ilvl w:val="0"/>
          <w:numId w:val="7"/>
        </w:numPr>
        <w:spacing w:before="120" w:after="120" w:line="240" w:lineRule="auto"/>
        <w:jc w:val="both"/>
        <w:rPr>
          <w:rFonts w:ascii="Times New Roman" w:hAnsi="Times New Roman" w:cs="Times New Roman"/>
          <w:sz w:val="20"/>
          <w:szCs w:val="20"/>
        </w:rPr>
      </w:pPr>
      <w:r w:rsidRPr="009524E5">
        <w:rPr>
          <w:rFonts w:ascii="Times New Roman" w:hAnsi="Times New Roman" w:cs="Times New Roman"/>
          <w:sz w:val="20"/>
          <w:szCs w:val="20"/>
        </w:rPr>
        <w:t>ulepszania zarządzania (GOVERNANCE) poprzez lepsze odzwierciedlanie i wykorzystywanie dużej różnorodności rolnictwa w UE, uproszczenie WPR i wdrożenie efektywnych kosztowo narzędzi, przy jednoczesnym zwiększeniu ukierunkowania na osiągane wyniki.</w:t>
      </w:r>
    </w:p>
    <w:p w14:paraId="115D950E" w14:textId="77777777" w:rsidR="001A167E" w:rsidRPr="007D063C" w:rsidRDefault="001A167E" w:rsidP="007D063C">
      <w:pPr>
        <w:spacing w:before="120" w:after="120" w:line="240" w:lineRule="auto"/>
        <w:jc w:val="both"/>
        <w:rPr>
          <w:rFonts w:ascii="Times New Roman" w:hAnsi="Times New Roman" w:cs="Times New Roman"/>
          <w:sz w:val="20"/>
          <w:szCs w:val="20"/>
        </w:rPr>
      </w:pPr>
      <w:r w:rsidRPr="007D063C">
        <w:rPr>
          <w:rFonts w:ascii="Times New Roman" w:hAnsi="Times New Roman" w:cs="Times New Roman"/>
          <w:sz w:val="20"/>
          <w:szCs w:val="20"/>
        </w:rPr>
        <w:lastRenderedPageBreak/>
        <w:t>W celu dokonania oceny możliwości osiągania zakładanych celów, skutków jakie mogą się z tym wiązać oraz odzwierciedlenia jak najszerszego nurtu już wcześniej zainicjowanej debaty publicznej KE poddała ocenie pięć, następujących wariantów przyszłej WPR:</w:t>
      </w:r>
    </w:p>
    <w:p w14:paraId="4E2BF97A" w14:textId="1745561F" w:rsidR="001A167E" w:rsidRPr="009524E5" w:rsidRDefault="001A167E" w:rsidP="009524E5">
      <w:pPr>
        <w:spacing w:before="120" w:after="120" w:line="240" w:lineRule="auto"/>
        <w:jc w:val="both"/>
        <w:rPr>
          <w:rFonts w:ascii="Times New Roman" w:hAnsi="Times New Roman" w:cs="Times New Roman"/>
          <w:sz w:val="20"/>
          <w:szCs w:val="20"/>
        </w:rPr>
      </w:pPr>
      <w:r w:rsidRPr="009524E5">
        <w:rPr>
          <w:rFonts w:ascii="Times New Roman" w:hAnsi="Times New Roman" w:cs="Times New Roman"/>
          <w:b/>
          <w:sz w:val="20"/>
          <w:szCs w:val="20"/>
        </w:rPr>
        <w:t>Wariant 1</w:t>
      </w:r>
      <w:r w:rsidR="007D063C">
        <w:rPr>
          <w:rFonts w:ascii="Times New Roman" w:hAnsi="Times New Roman" w:cs="Times New Roman"/>
          <w:sz w:val="20"/>
          <w:szCs w:val="20"/>
        </w:rPr>
        <w:t xml:space="preserve"> - </w:t>
      </w:r>
      <w:r w:rsidRPr="009524E5">
        <w:rPr>
          <w:rFonts w:ascii="Times New Roman" w:hAnsi="Times New Roman" w:cs="Times New Roman"/>
          <w:sz w:val="20"/>
          <w:szCs w:val="20"/>
        </w:rPr>
        <w:t xml:space="preserve">aktualnie realizowana WPR, z uwzględnieniem uproszczeń wynikających z przyjętych propozycji OMNIBUS. </w:t>
      </w:r>
    </w:p>
    <w:p w14:paraId="080E8A6D" w14:textId="0EF2D3B1" w:rsidR="001A167E" w:rsidRPr="009524E5" w:rsidRDefault="001A167E" w:rsidP="009524E5">
      <w:pPr>
        <w:spacing w:before="120" w:after="120" w:line="240" w:lineRule="auto"/>
        <w:jc w:val="both"/>
        <w:rPr>
          <w:rFonts w:ascii="Times New Roman" w:hAnsi="Times New Roman" w:cs="Times New Roman"/>
          <w:sz w:val="20"/>
          <w:szCs w:val="20"/>
        </w:rPr>
      </w:pPr>
      <w:r w:rsidRPr="009524E5">
        <w:rPr>
          <w:rFonts w:ascii="Times New Roman" w:hAnsi="Times New Roman" w:cs="Times New Roman"/>
          <w:b/>
          <w:sz w:val="20"/>
          <w:szCs w:val="20"/>
        </w:rPr>
        <w:t>Wariant 2</w:t>
      </w:r>
      <w:r w:rsidR="007D063C">
        <w:rPr>
          <w:rFonts w:ascii="Times New Roman" w:hAnsi="Times New Roman" w:cs="Times New Roman"/>
          <w:b/>
          <w:sz w:val="20"/>
          <w:szCs w:val="20"/>
        </w:rPr>
        <w:t xml:space="preserve"> - </w:t>
      </w:r>
      <w:r w:rsidRPr="009524E5">
        <w:rPr>
          <w:rFonts w:ascii="Times New Roman" w:hAnsi="Times New Roman" w:cs="Times New Roman"/>
          <w:sz w:val="20"/>
          <w:szCs w:val="20"/>
        </w:rPr>
        <w:t>całkowita likwidacja WPR</w:t>
      </w:r>
      <w:r w:rsidR="003B29D0" w:rsidRPr="009524E5">
        <w:rPr>
          <w:rStyle w:val="FootnoteReference"/>
          <w:rFonts w:ascii="Times New Roman" w:hAnsi="Times New Roman" w:cs="Times New Roman"/>
          <w:sz w:val="20"/>
          <w:szCs w:val="20"/>
        </w:rPr>
        <w:footnoteReference w:id="12"/>
      </w:r>
      <w:r w:rsidRPr="009524E5">
        <w:rPr>
          <w:rFonts w:ascii="Times New Roman" w:hAnsi="Times New Roman" w:cs="Times New Roman"/>
          <w:sz w:val="20"/>
          <w:szCs w:val="20"/>
        </w:rPr>
        <w:t xml:space="preserve">. </w:t>
      </w:r>
    </w:p>
    <w:p w14:paraId="30E1278E" w14:textId="1BBD46FD" w:rsidR="001A167E" w:rsidRPr="009524E5" w:rsidRDefault="001A167E" w:rsidP="009524E5">
      <w:pPr>
        <w:spacing w:before="120" w:after="120" w:line="240" w:lineRule="auto"/>
        <w:jc w:val="both"/>
        <w:rPr>
          <w:rFonts w:ascii="Times New Roman" w:hAnsi="Times New Roman" w:cs="Times New Roman"/>
          <w:sz w:val="20"/>
          <w:szCs w:val="20"/>
        </w:rPr>
      </w:pPr>
      <w:r w:rsidRPr="009524E5">
        <w:rPr>
          <w:rFonts w:ascii="Times New Roman" w:hAnsi="Times New Roman" w:cs="Times New Roman"/>
          <w:b/>
          <w:sz w:val="20"/>
          <w:szCs w:val="20"/>
        </w:rPr>
        <w:t>Wariant 3</w:t>
      </w:r>
      <w:r w:rsidR="007D063C">
        <w:rPr>
          <w:rFonts w:ascii="Times New Roman" w:hAnsi="Times New Roman" w:cs="Times New Roman"/>
          <w:b/>
          <w:sz w:val="20"/>
          <w:szCs w:val="20"/>
        </w:rPr>
        <w:t xml:space="preserve"> - </w:t>
      </w:r>
      <w:r w:rsidRPr="009524E5">
        <w:rPr>
          <w:rFonts w:ascii="Times New Roman" w:hAnsi="Times New Roman" w:cs="Times New Roman"/>
          <w:sz w:val="20"/>
          <w:szCs w:val="20"/>
        </w:rPr>
        <w:t>zwiększenie elastyczności programowania opartego na zidentyfikowanych potrzebach na poziom</w:t>
      </w:r>
      <w:r w:rsidR="007D063C">
        <w:rPr>
          <w:rFonts w:ascii="Times New Roman" w:hAnsi="Times New Roman" w:cs="Times New Roman"/>
          <w:sz w:val="20"/>
          <w:szCs w:val="20"/>
        </w:rPr>
        <w:t>ie</w:t>
      </w:r>
      <w:r w:rsidRPr="009524E5">
        <w:rPr>
          <w:rFonts w:ascii="Times New Roman" w:hAnsi="Times New Roman" w:cs="Times New Roman"/>
          <w:sz w:val="20"/>
          <w:szCs w:val="20"/>
        </w:rPr>
        <w:t xml:space="preserve"> krajów członkowskich lub regionów</w:t>
      </w:r>
      <w:r w:rsidR="007D063C">
        <w:rPr>
          <w:rFonts w:ascii="Times New Roman" w:hAnsi="Times New Roman" w:cs="Times New Roman"/>
          <w:sz w:val="20"/>
          <w:szCs w:val="20"/>
        </w:rPr>
        <w:t>; w</w:t>
      </w:r>
      <w:r w:rsidRPr="009524E5">
        <w:rPr>
          <w:rFonts w:ascii="Times New Roman" w:hAnsi="Times New Roman" w:cs="Times New Roman"/>
          <w:sz w:val="20"/>
          <w:szCs w:val="20"/>
        </w:rPr>
        <w:t>iększa koncentracja na zarzadzaniu ryzykiem oraz na restrukturyzacji i rozwoju biznesu w rolnictwie i wiejskich MSP</w:t>
      </w:r>
      <w:r w:rsidR="007D063C">
        <w:rPr>
          <w:rFonts w:ascii="Times New Roman" w:hAnsi="Times New Roman" w:cs="Times New Roman"/>
          <w:sz w:val="20"/>
          <w:szCs w:val="20"/>
        </w:rPr>
        <w:t xml:space="preserve">; </w:t>
      </w:r>
      <w:r w:rsidRPr="009524E5">
        <w:rPr>
          <w:rFonts w:ascii="Times New Roman" w:hAnsi="Times New Roman" w:cs="Times New Roman"/>
          <w:sz w:val="20"/>
          <w:szCs w:val="20"/>
        </w:rPr>
        <w:t>nacisk na inicjatywy związane ze zmianami klimatycznymi i usługami środowiskowymi, a także na dostęp do innowacji, wiedzy, technologii informatyczno-komunikacyjnych oraz infrastruktury na szczeblu lokalnym</w:t>
      </w:r>
    </w:p>
    <w:p w14:paraId="48B72FA7" w14:textId="64C0FB95" w:rsidR="001A167E" w:rsidRPr="009524E5" w:rsidRDefault="001A167E" w:rsidP="009524E5">
      <w:pPr>
        <w:spacing w:before="120" w:after="120" w:line="240" w:lineRule="auto"/>
        <w:jc w:val="both"/>
        <w:rPr>
          <w:rFonts w:ascii="Times New Roman" w:hAnsi="Times New Roman" w:cs="Times New Roman"/>
          <w:sz w:val="20"/>
          <w:szCs w:val="20"/>
        </w:rPr>
      </w:pPr>
      <w:r w:rsidRPr="009524E5">
        <w:rPr>
          <w:rFonts w:ascii="Times New Roman" w:hAnsi="Times New Roman" w:cs="Times New Roman"/>
          <w:b/>
          <w:sz w:val="20"/>
          <w:szCs w:val="20"/>
        </w:rPr>
        <w:t>Wariant 4</w:t>
      </w:r>
      <w:r w:rsidRPr="009524E5">
        <w:rPr>
          <w:rFonts w:ascii="Times New Roman" w:hAnsi="Times New Roman" w:cs="Times New Roman"/>
          <w:sz w:val="20"/>
          <w:szCs w:val="20"/>
        </w:rPr>
        <w:t xml:space="preserve"> – zmiana podziału zadań realizowanych na trzech szczeblach: UE/kraje członkowskie/gospodarstwa rolne</w:t>
      </w:r>
      <w:r w:rsidR="007D063C">
        <w:rPr>
          <w:rFonts w:ascii="Times New Roman" w:hAnsi="Times New Roman" w:cs="Times New Roman"/>
          <w:sz w:val="20"/>
          <w:szCs w:val="20"/>
        </w:rPr>
        <w:t xml:space="preserve"> celem</w:t>
      </w:r>
      <w:r w:rsidRPr="009524E5">
        <w:rPr>
          <w:rFonts w:ascii="Times New Roman" w:hAnsi="Times New Roman" w:cs="Times New Roman"/>
          <w:sz w:val="20"/>
          <w:szCs w:val="20"/>
        </w:rPr>
        <w:t xml:space="preserve"> wzmocnienia oddziaływania siatki bezpieczeństwa chroniącej dochody rolnicze, dzięki większej synergii między systemem płatności bezpośrednich i instrumentami zarządzania ryzykiem</w:t>
      </w:r>
      <w:r w:rsidR="007D063C">
        <w:rPr>
          <w:rFonts w:ascii="Times New Roman" w:hAnsi="Times New Roman" w:cs="Times New Roman"/>
          <w:sz w:val="20"/>
          <w:szCs w:val="20"/>
        </w:rPr>
        <w:t xml:space="preserve">; </w:t>
      </w:r>
      <w:r w:rsidRPr="009524E5">
        <w:rPr>
          <w:rFonts w:ascii="Times New Roman" w:hAnsi="Times New Roman" w:cs="Times New Roman"/>
          <w:sz w:val="20"/>
          <w:szCs w:val="20"/>
        </w:rPr>
        <w:t>da</w:t>
      </w:r>
      <w:r w:rsidR="007D063C">
        <w:rPr>
          <w:rFonts w:ascii="Times New Roman" w:hAnsi="Times New Roman" w:cs="Times New Roman"/>
          <w:sz w:val="20"/>
          <w:szCs w:val="20"/>
        </w:rPr>
        <w:t>lsze uproszczenie i modernizacja</w:t>
      </w:r>
      <w:r w:rsidRPr="009524E5">
        <w:rPr>
          <w:rFonts w:ascii="Times New Roman" w:hAnsi="Times New Roman" w:cs="Times New Roman"/>
          <w:sz w:val="20"/>
          <w:szCs w:val="20"/>
        </w:rPr>
        <w:t xml:space="preserve"> mechanizmów kontroli realizacji zakładanych celów przez beneficjentów.</w:t>
      </w:r>
    </w:p>
    <w:p w14:paraId="36ABF4EE" w14:textId="335A6039" w:rsidR="001A167E" w:rsidRDefault="001A167E" w:rsidP="009524E5">
      <w:pPr>
        <w:spacing w:before="120" w:after="120" w:line="240" w:lineRule="auto"/>
        <w:jc w:val="both"/>
        <w:rPr>
          <w:rFonts w:ascii="Arial" w:hAnsi="Arial" w:cs="Arial"/>
          <w:sz w:val="24"/>
          <w:szCs w:val="24"/>
        </w:rPr>
      </w:pPr>
      <w:r w:rsidRPr="009524E5">
        <w:rPr>
          <w:rFonts w:ascii="Times New Roman" w:hAnsi="Times New Roman" w:cs="Times New Roman"/>
          <w:b/>
          <w:sz w:val="20"/>
          <w:szCs w:val="20"/>
        </w:rPr>
        <w:t>Wariant 5</w:t>
      </w:r>
      <w:r w:rsidRPr="009524E5">
        <w:rPr>
          <w:rFonts w:ascii="Times New Roman" w:hAnsi="Times New Roman" w:cs="Times New Roman"/>
          <w:sz w:val="20"/>
          <w:szCs w:val="20"/>
        </w:rPr>
        <w:t xml:space="preserve"> – </w:t>
      </w:r>
      <w:r w:rsidR="007D063C">
        <w:rPr>
          <w:rFonts w:ascii="Times New Roman" w:hAnsi="Times New Roman" w:cs="Times New Roman"/>
          <w:sz w:val="20"/>
          <w:szCs w:val="20"/>
        </w:rPr>
        <w:t xml:space="preserve"> redystrybucja</w:t>
      </w:r>
      <w:r w:rsidRPr="009524E5">
        <w:rPr>
          <w:rFonts w:ascii="Times New Roman" w:hAnsi="Times New Roman" w:cs="Times New Roman"/>
          <w:sz w:val="20"/>
          <w:szCs w:val="20"/>
        </w:rPr>
        <w:t xml:space="preserve"> wsparcia z większych do mniejszych i przyjaznych środowisku gospodarstw oraz promowanie krótkich łańcuchów dostaw </w:t>
      </w:r>
      <w:r w:rsidR="007D063C">
        <w:rPr>
          <w:rFonts w:ascii="Times New Roman" w:hAnsi="Times New Roman" w:cs="Times New Roman"/>
          <w:sz w:val="20"/>
          <w:szCs w:val="20"/>
        </w:rPr>
        <w:t>i</w:t>
      </w:r>
      <w:r w:rsidRPr="009524E5">
        <w:rPr>
          <w:rFonts w:ascii="Times New Roman" w:hAnsi="Times New Roman" w:cs="Times New Roman"/>
          <w:sz w:val="20"/>
          <w:szCs w:val="20"/>
        </w:rPr>
        <w:t xml:space="preserve"> lokalnych rynków zbytu</w:t>
      </w:r>
      <w:r w:rsidRPr="00867B8B">
        <w:rPr>
          <w:rFonts w:ascii="Arial" w:hAnsi="Arial" w:cs="Arial"/>
          <w:sz w:val="24"/>
          <w:szCs w:val="24"/>
        </w:rPr>
        <w:t xml:space="preserve">. </w:t>
      </w:r>
    </w:p>
    <w:p w14:paraId="55908C3E" w14:textId="7856A99D" w:rsidR="00F04148" w:rsidRPr="00BF6E68" w:rsidRDefault="00346C8B" w:rsidP="00BF6E68">
      <w:pPr>
        <w:pStyle w:val="ListParagraph"/>
        <w:numPr>
          <w:ilvl w:val="0"/>
          <w:numId w:val="9"/>
        </w:numPr>
        <w:spacing w:before="120" w:after="120" w:line="360" w:lineRule="auto"/>
        <w:jc w:val="both"/>
        <w:rPr>
          <w:rFonts w:ascii="Arial" w:hAnsi="Arial" w:cs="Arial"/>
          <w:b/>
          <w:sz w:val="24"/>
          <w:szCs w:val="24"/>
        </w:rPr>
      </w:pPr>
      <w:r w:rsidRPr="00BF6E68">
        <w:rPr>
          <w:rFonts w:ascii="Arial" w:hAnsi="Arial" w:cs="Arial"/>
          <w:b/>
          <w:sz w:val="24"/>
          <w:szCs w:val="24"/>
        </w:rPr>
        <w:t>Konsultacje społeczne w sp</w:t>
      </w:r>
      <w:r w:rsidR="00F04148" w:rsidRPr="00BF6E68">
        <w:rPr>
          <w:rFonts w:ascii="Arial" w:hAnsi="Arial" w:cs="Arial"/>
          <w:b/>
          <w:sz w:val="24"/>
          <w:szCs w:val="24"/>
        </w:rPr>
        <w:t>r</w:t>
      </w:r>
      <w:r w:rsidRPr="00BF6E68">
        <w:rPr>
          <w:rFonts w:ascii="Arial" w:hAnsi="Arial" w:cs="Arial"/>
          <w:b/>
          <w:sz w:val="24"/>
          <w:szCs w:val="24"/>
        </w:rPr>
        <w:t>a</w:t>
      </w:r>
      <w:r w:rsidR="00F04148" w:rsidRPr="00BF6E68">
        <w:rPr>
          <w:rFonts w:ascii="Arial" w:hAnsi="Arial" w:cs="Arial"/>
          <w:b/>
          <w:sz w:val="24"/>
          <w:szCs w:val="24"/>
        </w:rPr>
        <w:t>wie WPR 2020+</w:t>
      </w:r>
    </w:p>
    <w:p w14:paraId="05FD262D" w14:textId="5FBFD0CA" w:rsidR="00F04148" w:rsidRPr="009524E5" w:rsidRDefault="008E3B98" w:rsidP="008E3B98">
      <w:pPr>
        <w:spacing w:line="240" w:lineRule="auto"/>
        <w:jc w:val="both"/>
        <w:rPr>
          <w:rFonts w:ascii="Times New Roman" w:hAnsi="Times New Roman" w:cs="Times New Roman"/>
          <w:sz w:val="20"/>
          <w:szCs w:val="20"/>
        </w:rPr>
      </w:pPr>
      <w:r>
        <w:rPr>
          <w:rFonts w:ascii="Times New Roman" w:hAnsi="Times New Roman" w:cs="Times New Roman"/>
          <w:sz w:val="20"/>
          <w:szCs w:val="20"/>
        </w:rPr>
        <w:t>KE</w:t>
      </w:r>
      <w:r w:rsidR="00F04148" w:rsidRPr="009524E5">
        <w:rPr>
          <w:rFonts w:ascii="Times New Roman" w:hAnsi="Times New Roman" w:cs="Times New Roman"/>
          <w:sz w:val="20"/>
          <w:szCs w:val="20"/>
        </w:rPr>
        <w:t xml:space="preserve"> podsumowała konsultacje społeczne dotyczące przyszłego kształtu WPR, które zakończyły się wiosną 2017 r. Wzięło w nich udział ponad 300 tys. uczestników, </w:t>
      </w:r>
      <w:r w:rsidR="00346C8B" w:rsidRPr="009524E5">
        <w:rPr>
          <w:rFonts w:ascii="Times New Roman" w:hAnsi="Times New Roman" w:cs="Times New Roman"/>
          <w:sz w:val="20"/>
          <w:szCs w:val="20"/>
        </w:rPr>
        <w:t>reprezentujących różne środowiska i interesariuszy WPR</w:t>
      </w:r>
      <w:r w:rsidR="00316BA3" w:rsidRPr="009524E5">
        <w:rPr>
          <w:rStyle w:val="FootnoteReference"/>
          <w:rFonts w:ascii="Times New Roman" w:hAnsi="Times New Roman" w:cs="Times New Roman"/>
          <w:sz w:val="20"/>
          <w:szCs w:val="20"/>
        </w:rPr>
        <w:footnoteReference w:id="13"/>
      </w:r>
      <w:r w:rsidR="00346C8B" w:rsidRPr="009524E5">
        <w:rPr>
          <w:rFonts w:ascii="Times New Roman" w:hAnsi="Times New Roman" w:cs="Times New Roman"/>
          <w:sz w:val="20"/>
          <w:szCs w:val="20"/>
        </w:rPr>
        <w:t>. Liczba opinii</w:t>
      </w:r>
      <w:r>
        <w:rPr>
          <w:rFonts w:ascii="Times New Roman" w:hAnsi="Times New Roman" w:cs="Times New Roman"/>
          <w:sz w:val="20"/>
          <w:szCs w:val="20"/>
        </w:rPr>
        <w:t xml:space="preserve"> i</w:t>
      </w:r>
      <w:r w:rsidR="00346C8B" w:rsidRPr="009524E5">
        <w:rPr>
          <w:rFonts w:ascii="Times New Roman" w:hAnsi="Times New Roman" w:cs="Times New Roman"/>
          <w:sz w:val="20"/>
          <w:szCs w:val="20"/>
        </w:rPr>
        <w:t xml:space="preserve"> stanowisk była</w:t>
      </w:r>
      <w:r w:rsidR="00F04148" w:rsidRPr="009524E5">
        <w:rPr>
          <w:rFonts w:ascii="Times New Roman" w:hAnsi="Times New Roman" w:cs="Times New Roman"/>
          <w:sz w:val="20"/>
          <w:szCs w:val="20"/>
        </w:rPr>
        <w:t xml:space="preserve"> kilkadziesiąt razy wię</w:t>
      </w:r>
      <w:r w:rsidR="00346C8B" w:rsidRPr="009524E5">
        <w:rPr>
          <w:rFonts w:ascii="Times New Roman" w:hAnsi="Times New Roman" w:cs="Times New Roman"/>
          <w:sz w:val="20"/>
          <w:szCs w:val="20"/>
        </w:rPr>
        <w:t xml:space="preserve">ksza </w:t>
      </w:r>
      <w:r w:rsidR="00F04148" w:rsidRPr="009524E5">
        <w:rPr>
          <w:rFonts w:ascii="Times New Roman" w:hAnsi="Times New Roman" w:cs="Times New Roman"/>
          <w:sz w:val="20"/>
          <w:szCs w:val="20"/>
        </w:rPr>
        <w:t xml:space="preserve">niż w trakcie podobnych konsultacji w 2010 r. Ponad połowa zgłoszonych opinii pochodziła z Niemiec i Francji, a nieco ponad 7% zostało przedstawionych przez środowiska rolnicze. Zebrane opinie potwierdziły, zarówno po stronie środowisk rolniczych, jak i pozarolniczych, silną potrzebę kontynuowania unijnej polityki rolnej i wsparcia </w:t>
      </w:r>
      <w:r w:rsidR="003F2F85" w:rsidRPr="009524E5">
        <w:rPr>
          <w:rFonts w:ascii="Times New Roman" w:hAnsi="Times New Roman" w:cs="Times New Roman"/>
          <w:sz w:val="20"/>
          <w:szCs w:val="20"/>
        </w:rPr>
        <w:t xml:space="preserve">rozwoju </w:t>
      </w:r>
      <w:r w:rsidR="00F04148" w:rsidRPr="009524E5">
        <w:rPr>
          <w:rFonts w:ascii="Times New Roman" w:hAnsi="Times New Roman" w:cs="Times New Roman"/>
          <w:sz w:val="20"/>
          <w:szCs w:val="20"/>
        </w:rPr>
        <w:t>obszarów wiejskich</w:t>
      </w:r>
      <w:r w:rsidR="00EC77F8" w:rsidRPr="009524E5">
        <w:rPr>
          <w:rFonts w:ascii="Times New Roman" w:hAnsi="Times New Roman" w:cs="Times New Roman"/>
          <w:sz w:val="20"/>
          <w:szCs w:val="20"/>
        </w:rPr>
        <w:t>,</w:t>
      </w:r>
      <w:r w:rsidR="00F04148" w:rsidRPr="009524E5">
        <w:rPr>
          <w:rFonts w:ascii="Times New Roman" w:hAnsi="Times New Roman" w:cs="Times New Roman"/>
          <w:sz w:val="20"/>
          <w:szCs w:val="20"/>
        </w:rPr>
        <w:t xml:space="preserve"> dostrzegając wartość dodaną takiej polityki realizowanej na poziomie UE. W 90% opinie potwierdziły, że głównym zadaniem </w:t>
      </w:r>
      <w:r>
        <w:rPr>
          <w:rFonts w:ascii="Times New Roman" w:hAnsi="Times New Roman" w:cs="Times New Roman"/>
          <w:sz w:val="20"/>
          <w:szCs w:val="20"/>
        </w:rPr>
        <w:t xml:space="preserve">WPR </w:t>
      </w:r>
      <w:r w:rsidR="00F04148" w:rsidRPr="009524E5">
        <w:rPr>
          <w:rFonts w:ascii="Times New Roman" w:hAnsi="Times New Roman" w:cs="Times New Roman"/>
          <w:sz w:val="20"/>
          <w:szCs w:val="20"/>
        </w:rPr>
        <w:t xml:space="preserve">UE jest zagwarantowanie równych warunków konkurencji w ramach </w:t>
      </w:r>
      <w:r w:rsidR="003F2F85" w:rsidRPr="009524E5">
        <w:rPr>
          <w:rFonts w:ascii="Times New Roman" w:hAnsi="Times New Roman" w:cs="Times New Roman"/>
          <w:sz w:val="20"/>
          <w:szCs w:val="20"/>
        </w:rPr>
        <w:t xml:space="preserve">jednolitego </w:t>
      </w:r>
      <w:r w:rsidR="00F04148" w:rsidRPr="009524E5">
        <w:rPr>
          <w:rFonts w:ascii="Times New Roman" w:hAnsi="Times New Roman" w:cs="Times New Roman"/>
          <w:sz w:val="20"/>
          <w:szCs w:val="20"/>
        </w:rPr>
        <w:t xml:space="preserve">rynku </w:t>
      </w:r>
      <w:r w:rsidR="003F2F85" w:rsidRPr="009524E5">
        <w:rPr>
          <w:rFonts w:ascii="Times New Roman" w:hAnsi="Times New Roman" w:cs="Times New Roman"/>
          <w:sz w:val="20"/>
          <w:szCs w:val="20"/>
        </w:rPr>
        <w:t xml:space="preserve">europejskiego </w:t>
      </w:r>
      <w:r w:rsidR="00F04148" w:rsidRPr="009524E5">
        <w:rPr>
          <w:rFonts w:ascii="Times New Roman" w:hAnsi="Times New Roman" w:cs="Times New Roman"/>
          <w:sz w:val="20"/>
          <w:szCs w:val="20"/>
        </w:rPr>
        <w:t xml:space="preserve">z jednej strony, a z drugiej </w:t>
      </w:r>
      <w:r>
        <w:rPr>
          <w:rFonts w:ascii="Times New Roman" w:hAnsi="Times New Roman" w:cs="Times New Roman"/>
          <w:sz w:val="20"/>
          <w:szCs w:val="20"/>
        </w:rPr>
        <w:t xml:space="preserve">- </w:t>
      </w:r>
      <w:r w:rsidR="00F04148" w:rsidRPr="009524E5">
        <w:rPr>
          <w:rFonts w:ascii="Times New Roman" w:hAnsi="Times New Roman" w:cs="Times New Roman"/>
          <w:sz w:val="20"/>
          <w:szCs w:val="20"/>
        </w:rPr>
        <w:t>konieczność zagwarantowania bezpieczeństwa żywnościowego, ochronę rolniczych zasobów naturalnych (jako główne wskazanie po stronie środowisk nierolniczych). Konsultacje potwierdziły także kluczowe wyzwania, na jakie przyszła WPR, musi znale</w:t>
      </w:r>
      <w:r w:rsidR="003F2F85" w:rsidRPr="009524E5">
        <w:rPr>
          <w:rFonts w:ascii="Times New Roman" w:hAnsi="Times New Roman" w:cs="Times New Roman"/>
          <w:sz w:val="20"/>
          <w:szCs w:val="20"/>
        </w:rPr>
        <w:t>ź</w:t>
      </w:r>
      <w:r w:rsidR="00F04148" w:rsidRPr="009524E5">
        <w:rPr>
          <w:rFonts w:ascii="Times New Roman" w:hAnsi="Times New Roman" w:cs="Times New Roman"/>
          <w:sz w:val="20"/>
          <w:szCs w:val="20"/>
        </w:rPr>
        <w:t>ć rozwiązania. Są to: ochrona dochodów rolniczych i standardu życia rodzin rolniczych, zmniejszenie presji na środowisko ze strony rolnictwa, mit</w:t>
      </w:r>
      <w:r w:rsidR="003F2F85" w:rsidRPr="009524E5">
        <w:rPr>
          <w:rFonts w:ascii="Times New Roman" w:hAnsi="Times New Roman" w:cs="Times New Roman"/>
          <w:sz w:val="20"/>
          <w:szCs w:val="20"/>
        </w:rPr>
        <w:t>y</w:t>
      </w:r>
      <w:r w:rsidR="00F04148" w:rsidRPr="009524E5">
        <w:rPr>
          <w:rFonts w:ascii="Times New Roman" w:hAnsi="Times New Roman" w:cs="Times New Roman"/>
          <w:sz w:val="20"/>
          <w:szCs w:val="20"/>
        </w:rPr>
        <w:t>g</w:t>
      </w:r>
      <w:r w:rsidR="003F2F85" w:rsidRPr="009524E5">
        <w:rPr>
          <w:rFonts w:ascii="Times New Roman" w:hAnsi="Times New Roman" w:cs="Times New Roman"/>
          <w:sz w:val="20"/>
          <w:szCs w:val="20"/>
        </w:rPr>
        <w:t>owanie</w:t>
      </w:r>
      <w:r w:rsidR="00F04148" w:rsidRPr="009524E5">
        <w:rPr>
          <w:rFonts w:ascii="Times New Roman" w:hAnsi="Times New Roman" w:cs="Times New Roman"/>
          <w:sz w:val="20"/>
          <w:szCs w:val="20"/>
        </w:rPr>
        <w:t xml:space="preserve"> i dostosowani</w:t>
      </w:r>
      <w:r w:rsidR="003F2F85" w:rsidRPr="009524E5">
        <w:rPr>
          <w:rFonts w:ascii="Times New Roman" w:hAnsi="Times New Roman" w:cs="Times New Roman"/>
          <w:sz w:val="20"/>
          <w:szCs w:val="20"/>
        </w:rPr>
        <w:t>e</w:t>
      </w:r>
      <w:r w:rsidR="00F04148" w:rsidRPr="009524E5">
        <w:rPr>
          <w:rFonts w:ascii="Times New Roman" w:hAnsi="Times New Roman" w:cs="Times New Roman"/>
          <w:sz w:val="20"/>
          <w:szCs w:val="20"/>
        </w:rPr>
        <w:t xml:space="preserve"> do zmian klimatu. Jednocześnie zaledwie 57% respondentów wyraziło opinie, że dotychczasowy kształ</w:t>
      </w:r>
      <w:r w:rsidR="003F2F85" w:rsidRPr="009524E5">
        <w:rPr>
          <w:rFonts w:ascii="Times New Roman" w:hAnsi="Times New Roman" w:cs="Times New Roman"/>
          <w:sz w:val="20"/>
          <w:szCs w:val="20"/>
        </w:rPr>
        <w:t>t</w:t>
      </w:r>
      <w:r w:rsidR="00F04148" w:rsidRPr="009524E5">
        <w:rPr>
          <w:rFonts w:ascii="Times New Roman" w:hAnsi="Times New Roman" w:cs="Times New Roman"/>
          <w:sz w:val="20"/>
          <w:szCs w:val="20"/>
        </w:rPr>
        <w:t xml:space="preserve"> WPR w sposób skuteczny realizuje te podstawowe </w:t>
      </w:r>
      <w:r w:rsidR="00F04148" w:rsidRPr="009524E5">
        <w:rPr>
          <w:rFonts w:ascii="Times New Roman" w:hAnsi="Times New Roman" w:cs="Times New Roman"/>
          <w:sz w:val="20"/>
          <w:szCs w:val="20"/>
        </w:rPr>
        <w:lastRenderedPageBreak/>
        <w:t xml:space="preserve">zadania. Szczególnie dotyczy to wyzwań środowiskowych (ponad 2/3 krytycznych opinii zarówno ze strony środowisk rolniczych, jak i pozarolniczych). W tym kontekście realizacja wymogu zazielenienie wprowadzona po zmianach WPR po 2013 r. uznana została za silnie </w:t>
      </w:r>
      <w:r w:rsidR="003F2F85" w:rsidRPr="009524E5">
        <w:rPr>
          <w:rFonts w:ascii="Times New Roman" w:hAnsi="Times New Roman" w:cs="Times New Roman"/>
          <w:sz w:val="20"/>
          <w:szCs w:val="20"/>
        </w:rPr>
        <w:t>z</w:t>
      </w:r>
      <w:r w:rsidR="00F04148" w:rsidRPr="009524E5">
        <w:rPr>
          <w:rFonts w:ascii="Times New Roman" w:hAnsi="Times New Roman" w:cs="Times New Roman"/>
          <w:sz w:val="20"/>
          <w:szCs w:val="20"/>
        </w:rPr>
        <w:t>biurokratyz</w:t>
      </w:r>
      <w:r>
        <w:rPr>
          <w:rFonts w:ascii="Times New Roman" w:hAnsi="Times New Roman" w:cs="Times New Roman"/>
          <w:sz w:val="20"/>
          <w:szCs w:val="20"/>
        </w:rPr>
        <w:t>owaną</w:t>
      </w:r>
      <w:r w:rsidR="00F04148" w:rsidRPr="009524E5">
        <w:rPr>
          <w:rFonts w:ascii="Times New Roman" w:hAnsi="Times New Roman" w:cs="Times New Roman"/>
          <w:sz w:val="20"/>
          <w:szCs w:val="20"/>
        </w:rPr>
        <w:t xml:space="preserve"> i komplikującą procedurę ubiegania się o płatności, zarówno po stronie rolników, jak i administr</w:t>
      </w:r>
      <w:r w:rsidR="003F2F85" w:rsidRPr="009524E5">
        <w:rPr>
          <w:rFonts w:ascii="Times New Roman" w:hAnsi="Times New Roman" w:cs="Times New Roman"/>
          <w:sz w:val="20"/>
          <w:szCs w:val="20"/>
        </w:rPr>
        <w:t>a</w:t>
      </w:r>
      <w:r w:rsidR="00F04148" w:rsidRPr="009524E5">
        <w:rPr>
          <w:rFonts w:ascii="Times New Roman" w:hAnsi="Times New Roman" w:cs="Times New Roman"/>
          <w:sz w:val="20"/>
          <w:szCs w:val="20"/>
        </w:rPr>
        <w:t>cji rolnej. Ponad 2/3 responden</w:t>
      </w:r>
      <w:r w:rsidR="003F2F85" w:rsidRPr="009524E5">
        <w:rPr>
          <w:rFonts w:ascii="Times New Roman" w:hAnsi="Times New Roman" w:cs="Times New Roman"/>
          <w:sz w:val="20"/>
          <w:szCs w:val="20"/>
        </w:rPr>
        <w:t>t</w:t>
      </w:r>
      <w:r w:rsidR="00F04148" w:rsidRPr="009524E5">
        <w:rPr>
          <w:rFonts w:ascii="Times New Roman" w:hAnsi="Times New Roman" w:cs="Times New Roman"/>
          <w:sz w:val="20"/>
          <w:szCs w:val="20"/>
        </w:rPr>
        <w:t>ów potwierdził</w:t>
      </w:r>
      <w:r w:rsidR="003F2F85" w:rsidRPr="009524E5">
        <w:rPr>
          <w:rFonts w:ascii="Times New Roman" w:hAnsi="Times New Roman" w:cs="Times New Roman"/>
          <w:sz w:val="20"/>
          <w:szCs w:val="20"/>
        </w:rPr>
        <w:t>o</w:t>
      </w:r>
      <w:r w:rsidR="00F04148" w:rsidRPr="009524E5">
        <w:rPr>
          <w:rFonts w:ascii="Times New Roman" w:hAnsi="Times New Roman" w:cs="Times New Roman"/>
          <w:sz w:val="20"/>
          <w:szCs w:val="20"/>
        </w:rPr>
        <w:t xml:space="preserve"> konieczność kontynuowania wsparcia finansowego rolników z budżetu wspólnotowego i </w:t>
      </w:r>
      <w:r w:rsidR="00EC77F8" w:rsidRPr="009524E5">
        <w:rPr>
          <w:rFonts w:ascii="Times New Roman" w:hAnsi="Times New Roman" w:cs="Times New Roman"/>
          <w:sz w:val="20"/>
          <w:szCs w:val="20"/>
        </w:rPr>
        <w:t xml:space="preserve">dalszą potrzebę </w:t>
      </w:r>
      <w:r w:rsidR="00F04148" w:rsidRPr="009524E5">
        <w:rPr>
          <w:rFonts w:ascii="Times New Roman" w:hAnsi="Times New Roman" w:cs="Times New Roman"/>
          <w:sz w:val="20"/>
          <w:szCs w:val="20"/>
        </w:rPr>
        <w:t>popraw</w:t>
      </w:r>
      <w:r w:rsidR="00EC77F8" w:rsidRPr="009524E5">
        <w:rPr>
          <w:rFonts w:ascii="Times New Roman" w:hAnsi="Times New Roman" w:cs="Times New Roman"/>
          <w:sz w:val="20"/>
          <w:szCs w:val="20"/>
        </w:rPr>
        <w:t xml:space="preserve">y </w:t>
      </w:r>
      <w:r w:rsidR="00F04148" w:rsidRPr="009524E5">
        <w:rPr>
          <w:rFonts w:ascii="Times New Roman" w:hAnsi="Times New Roman" w:cs="Times New Roman"/>
          <w:sz w:val="20"/>
          <w:szCs w:val="20"/>
        </w:rPr>
        <w:t xml:space="preserve">pozycji producentów rolnych w łańcuchu żywnościowym, przy jednoczesnej zgodzie, że wsparcie z budżetu UE powinno być silniej ukierunkowane na cele (88%) i uwarunkowane większymi korzyściami dla środowiska naturalnego (77%). </w:t>
      </w:r>
    </w:p>
    <w:p w14:paraId="5BAE47EA" w14:textId="18030233" w:rsidR="00F04148" w:rsidRPr="009524E5" w:rsidRDefault="003F2F85" w:rsidP="007D063C">
      <w:pPr>
        <w:spacing w:line="240" w:lineRule="auto"/>
        <w:jc w:val="both"/>
        <w:rPr>
          <w:rFonts w:ascii="Times New Roman" w:hAnsi="Times New Roman" w:cs="Times New Roman"/>
          <w:sz w:val="20"/>
          <w:szCs w:val="20"/>
        </w:rPr>
      </w:pPr>
      <w:r w:rsidRPr="009524E5">
        <w:rPr>
          <w:rFonts w:ascii="Times New Roman" w:hAnsi="Times New Roman" w:cs="Times New Roman"/>
          <w:sz w:val="20"/>
          <w:szCs w:val="20"/>
        </w:rPr>
        <w:t>P</w:t>
      </w:r>
      <w:r w:rsidR="00F04148" w:rsidRPr="009524E5">
        <w:rPr>
          <w:rFonts w:ascii="Times New Roman" w:hAnsi="Times New Roman" w:cs="Times New Roman"/>
          <w:sz w:val="20"/>
          <w:szCs w:val="20"/>
        </w:rPr>
        <w:t>ytani o szczególne preferencje przy przyznawaniu płatności bezpośre</w:t>
      </w:r>
      <w:r w:rsidRPr="009524E5">
        <w:rPr>
          <w:rFonts w:ascii="Times New Roman" w:hAnsi="Times New Roman" w:cs="Times New Roman"/>
          <w:sz w:val="20"/>
          <w:szCs w:val="20"/>
        </w:rPr>
        <w:t>dn</w:t>
      </w:r>
      <w:r w:rsidR="00F04148" w:rsidRPr="009524E5">
        <w:rPr>
          <w:rFonts w:ascii="Times New Roman" w:hAnsi="Times New Roman" w:cs="Times New Roman"/>
          <w:sz w:val="20"/>
          <w:szCs w:val="20"/>
        </w:rPr>
        <w:t>ich,  wskazywali na konieczność wspierania dochodów rolników gospodarujących na obszarach o wysokich walorach przyrodniczych, młodych rolników i ograniczenie płatności dla dużych producentów (</w:t>
      </w:r>
      <w:r w:rsidR="00F04148" w:rsidRPr="009524E5">
        <w:rPr>
          <w:rFonts w:ascii="Times New Roman" w:hAnsi="Times New Roman" w:cs="Times New Roman"/>
          <w:i/>
          <w:sz w:val="20"/>
          <w:szCs w:val="20"/>
        </w:rPr>
        <w:t>capping</w:t>
      </w:r>
      <w:r w:rsidR="00F04148" w:rsidRPr="009524E5">
        <w:rPr>
          <w:rFonts w:ascii="Times New Roman" w:hAnsi="Times New Roman" w:cs="Times New Roman"/>
          <w:sz w:val="20"/>
          <w:szCs w:val="20"/>
        </w:rPr>
        <w:t xml:space="preserve">). Z kolei głosy środowisk nierolniczych wpierały </w:t>
      </w:r>
      <w:r w:rsidR="008E3B98">
        <w:rPr>
          <w:rFonts w:ascii="Times New Roman" w:hAnsi="Times New Roman" w:cs="Times New Roman"/>
          <w:sz w:val="20"/>
          <w:szCs w:val="20"/>
        </w:rPr>
        <w:t xml:space="preserve">pomoc </w:t>
      </w:r>
      <w:r w:rsidR="00F04148" w:rsidRPr="009524E5">
        <w:rPr>
          <w:rFonts w:ascii="Times New Roman" w:hAnsi="Times New Roman" w:cs="Times New Roman"/>
          <w:sz w:val="20"/>
          <w:szCs w:val="20"/>
        </w:rPr>
        <w:t>dla praktyk szczególnie korzystnych dla środowiska naturalnego, a także wsparcie mniejszych gospodarstw rolnych. W dyskusji silnie za</w:t>
      </w:r>
      <w:r w:rsidRPr="009524E5">
        <w:rPr>
          <w:rFonts w:ascii="Times New Roman" w:hAnsi="Times New Roman" w:cs="Times New Roman"/>
          <w:sz w:val="20"/>
          <w:szCs w:val="20"/>
        </w:rPr>
        <w:t>a</w:t>
      </w:r>
      <w:r w:rsidR="00F04148" w:rsidRPr="009524E5">
        <w:rPr>
          <w:rFonts w:ascii="Times New Roman" w:hAnsi="Times New Roman" w:cs="Times New Roman"/>
          <w:sz w:val="20"/>
          <w:szCs w:val="20"/>
        </w:rPr>
        <w:t xml:space="preserve">kcentowano potrzebę wspierania w ramach WPR ważnych społecznie kwestii (dobrostan zwierząt, rolnictwo ekologiczne, produkcja żywności wysokiej jakości, ochrona konsumenta).  </w:t>
      </w:r>
    </w:p>
    <w:p w14:paraId="4809C55B" w14:textId="4E474BD0" w:rsidR="00F04148" w:rsidRPr="009524E5" w:rsidRDefault="00F04148" w:rsidP="007D063C">
      <w:pPr>
        <w:spacing w:line="240" w:lineRule="auto"/>
        <w:jc w:val="both"/>
        <w:rPr>
          <w:rFonts w:ascii="Times New Roman" w:hAnsi="Times New Roman" w:cs="Times New Roman"/>
          <w:sz w:val="20"/>
          <w:szCs w:val="20"/>
        </w:rPr>
      </w:pPr>
      <w:r w:rsidRPr="009524E5">
        <w:rPr>
          <w:rFonts w:ascii="Times New Roman" w:hAnsi="Times New Roman" w:cs="Times New Roman"/>
          <w:sz w:val="20"/>
          <w:szCs w:val="20"/>
        </w:rPr>
        <w:t>Ocenę dyskusji o kształcie WPR po 2020 roku i możliwe realne zmiany w kształcie tej polityki należy rozpatrywać na osi czasu. W pierwszej kolejności pod koniec 2017 r. spodziewane jest przyjęcie w ramach trilogu rozporządzenia OMNIBUS oraz opub</w:t>
      </w:r>
      <w:r w:rsidR="003F2F85" w:rsidRPr="009524E5">
        <w:rPr>
          <w:rFonts w:ascii="Times New Roman" w:hAnsi="Times New Roman" w:cs="Times New Roman"/>
          <w:sz w:val="20"/>
          <w:szCs w:val="20"/>
        </w:rPr>
        <w:t>l</w:t>
      </w:r>
      <w:r w:rsidRPr="009524E5">
        <w:rPr>
          <w:rFonts w:ascii="Times New Roman" w:hAnsi="Times New Roman" w:cs="Times New Roman"/>
          <w:sz w:val="20"/>
          <w:szCs w:val="20"/>
        </w:rPr>
        <w:t>ikowanie Raportu nt</w:t>
      </w:r>
      <w:r w:rsidR="003F2F85" w:rsidRPr="009524E5">
        <w:rPr>
          <w:rFonts w:ascii="Times New Roman" w:hAnsi="Times New Roman" w:cs="Times New Roman"/>
          <w:sz w:val="20"/>
          <w:szCs w:val="20"/>
        </w:rPr>
        <w:t>.</w:t>
      </w:r>
      <w:r w:rsidRPr="009524E5">
        <w:rPr>
          <w:rFonts w:ascii="Times New Roman" w:hAnsi="Times New Roman" w:cs="Times New Roman"/>
          <w:sz w:val="20"/>
          <w:szCs w:val="20"/>
        </w:rPr>
        <w:t xml:space="preserve"> oceny wpływu wariantów WPR 2020+ zapropnow</w:t>
      </w:r>
      <w:r w:rsidR="003F2F85" w:rsidRPr="009524E5">
        <w:rPr>
          <w:rFonts w:ascii="Times New Roman" w:hAnsi="Times New Roman" w:cs="Times New Roman"/>
          <w:sz w:val="20"/>
          <w:szCs w:val="20"/>
        </w:rPr>
        <w:t>a</w:t>
      </w:r>
      <w:r w:rsidRPr="009524E5">
        <w:rPr>
          <w:rFonts w:ascii="Times New Roman" w:hAnsi="Times New Roman" w:cs="Times New Roman"/>
          <w:sz w:val="20"/>
          <w:szCs w:val="20"/>
        </w:rPr>
        <w:t xml:space="preserve">nych przez </w:t>
      </w:r>
      <w:r w:rsidR="008E3B98">
        <w:rPr>
          <w:rFonts w:ascii="Times New Roman" w:hAnsi="Times New Roman" w:cs="Times New Roman"/>
          <w:sz w:val="20"/>
          <w:szCs w:val="20"/>
        </w:rPr>
        <w:t>KE</w:t>
      </w:r>
      <w:r w:rsidRPr="009524E5">
        <w:rPr>
          <w:rFonts w:ascii="Times New Roman" w:hAnsi="Times New Roman" w:cs="Times New Roman"/>
          <w:sz w:val="20"/>
          <w:szCs w:val="20"/>
        </w:rPr>
        <w:t>. W tym samym czasie Komisja ma zaprezentować swój Kom</w:t>
      </w:r>
      <w:r w:rsidR="003F2F85" w:rsidRPr="009524E5">
        <w:rPr>
          <w:rFonts w:ascii="Times New Roman" w:hAnsi="Times New Roman" w:cs="Times New Roman"/>
          <w:sz w:val="20"/>
          <w:szCs w:val="20"/>
        </w:rPr>
        <w:t>u</w:t>
      </w:r>
      <w:r w:rsidRPr="009524E5">
        <w:rPr>
          <w:rFonts w:ascii="Times New Roman" w:hAnsi="Times New Roman" w:cs="Times New Roman"/>
          <w:sz w:val="20"/>
          <w:szCs w:val="20"/>
        </w:rPr>
        <w:t>n</w:t>
      </w:r>
      <w:r w:rsidR="003F2F85" w:rsidRPr="009524E5">
        <w:rPr>
          <w:rFonts w:ascii="Times New Roman" w:hAnsi="Times New Roman" w:cs="Times New Roman"/>
          <w:sz w:val="20"/>
          <w:szCs w:val="20"/>
        </w:rPr>
        <w:t>i</w:t>
      </w:r>
      <w:r w:rsidRPr="009524E5">
        <w:rPr>
          <w:rFonts w:ascii="Times New Roman" w:hAnsi="Times New Roman" w:cs="Times New Roman"/>
          <w:sz w:val="20"/>
          <w:szCs w:val="20"/>
        </w:rPr>
        <w:t>kat nt</w:t>
      </w:r>
      <w:r w:rsidR="003F2F85" w:rsidRPr="009524E5">
        <w:rPr>
          <w:rFonts w:ascii="Times New Roman" w:hAnsi="Times New Roman" w:cs="Times New Roman"/>
          <w:sz w:val="20"/>
          <w:szCs w:val="20"/>
        </w:rPr>
        <w:t>.</w:t>
      </w:r>
      <w:r w:rsidRPr="009524E5">
        <w:rPr>
          <w:rFonts w:ascii="Times New Roman" w:hAnsi="Times New Roman" w:cs="Times New Roman"/>
          <w:sz w:val="20"/>
          <w:szCs w:val="20"/>
        </w:rPr>
        <w:t xml:space="preserve"> WPR 2020+. Dopiero w maju 2018 r. spodziewane jest, że ogłoszone zostaną wieloletnie ramy finansowe na 2020+ , które </w:t>
      </w:r>
      <w:r w:rsidRPr="008E3B98">
        <w:rPr>
          <w:rFonts w:ascii="Times New Roman" w:hAnsi="Times New Roman" w:cs="Times New Roman"/>
          <w:i/>
          <w:sz w:val="20"/>
          <w:szCs w:val="20"/>
        </w:rPr>
        <w:t>de facto</w:t>
      </w:r>
      <w:r w:rsidRPr="009524E5">
        <w:rPr>
          <w:rFonts w:ascii="Times New Roman" w:hAnsi="Times New Roman" w:cs="Times New Roman"/>
          <w:sz w:val="20"/>
          <w:szCs w:val="20"/>
        </w:rPr>
        <w:t xml:space="preserve"> będą określały zakres możliwej realizacji wsparcia w ramach WPR po 2020. Przed nami zatem wiele kroków, które będą miały istotne znaczenie dla przyszłego kształtu WPR, choć po </w:t>
      </w:r>
      <w:r w:rsidR="00230C46" w:rsidRPr="009524E5">
        <w:rPr>
          <w:rFonts w:ascii="Times New Roman" w:hAnsi="Times New Roman" w:cs="Times New Roman"/>
          <w:sz w:val="20"/>
          <w:szCs w:val="20"/>
        </w:rPr>
        <w:t>dotychcza</w:t>
      </w:r>
      <w:r w:rsidRPr="009524E5">
        <w:rPr>
          <w:rFonts w:ascii="Times New Roman" w:hAnsi="Times New Roman" w:cs="Times New Roman"/>
          <w:sz w:val="20"/>
          <w:szCs w:val="20"/>
        </w:rPr>
        <w:t xml:space="preserve">sowym przebiegu tej dyskusji nie należy się spodziewać kroków rewolucyjnych.   </w:t>
      </w:r>
    </w:p>
    <w:p w14:paraId="69BD0734" w14:textId="0E634C85" w:rsidR="00100FB3" w:rsidRPr="00100FB3" w:rsidRDefault="00100FB3" w:rsidP="001A167E">
      <w:pPr>
        <w:spacing w:before="120" w:after="120" w:line="360" w:lineRule="auto"/>
        <w:jc w:val="both"/>
        <w:rPr>
          <w:rFonts w:ascii="Arial" w:hAnsi="Arial" w:cs="Arial"/>
          <w:b/>
          <w:sz w:val="24"/>
          <w:szCs w:val="24"/>
        </w:rPr>
      </w:pPr>
      <w:r w:rsidRPr="00100FB3">
        <w:rPr>
          <w:rFonts w:ascii="Arial" w:hAnsi="Arial" w:cs="Arial"/>
          <w:b/>
          <w:sz w:val="24"/>
          <w:szCs w:val="24"/>
        </w:rPr>
        <w:t xml:space="preserve">Uwagi końcowe </w:t>
      </w:r>
    </w:p>
    <w:p w14:paraId="7DE03170" w14:textId="4188CA67" w:rsidR="00B560F8" w:rsidRPr="009524E5" w:rsidRDefault="00100FB3" w:rsidP="007D063C">
      <w:pPr>
        <w:pStyle w:val="Normln"/>
        <w:spacing w:before="120" w:after="120"/>
        <w:jc w:val="both"/>
        <w:rPr>
          <w:rFonts w:ascii="Times New Roman" w:hAnsi="Times New Roman"/>
          <w:sz w:val="20"/>
          <w:szCs w:val="20"/>
        </w:rPr>
      </w:pPr>
      <w:r w:rsidRPr="009524E5">
        <w:rPr>
          <w:rFonts w:ascii="Times New Roman" w:hAnsi="Times New Roman"/>
          <w:sz w:val="20"/>
          <w:szCs w:val="20"/>
        </w:rPr>
        <w:t>W nini</w:t>
      </w:r>
      <w:r w:rsidR="00001ACB" w:rsidRPr="009524E5">
        <w:rPr>
          <w:rFonts w:ascii="Times New Roman" w:hAnsi="Times New Roman"/>
          <w:sz w:val="20"/>
          <w:szCs w:val="20"/>
        </w:rPr>
        <w:t>e</w:t>
      </w:r>
      <w:r w:rsidRPr="009524E5">
        <w:rPr>
          <w:rFonts w:ascii="Times New Roman" w:hAnsi="Times New Roman"/>
          <w:sz w:val="20"/>
          <w:szCs w:val="20"/>
        </w:rPr>
        <w:t xml:space="preserve">jszym artykule autorzy podjęli próbę nakreślenia czytelnikom kontekstu toczącej się w Unii dyskusji na </w:t>
      </w:r>
      <w:r w:rsidR="00001ACB" w:rsidRPr="009524E5">
        <w:rPr>
          <w:rFonts w:ascii="Times New Roman" w:hAnsi="Times New Roman"/>
          <w:sz w:val="20"/>
          <w:szCs w:val="20"/>
        </w:rPr>
        <w:t xml:space="preserve">przyszłym kształtem </w:t>
      </w:r>
      <w:r w:rsidRPr="009524E5">
        <w:rPr>
          <w:rFonts w:ascii="Times New Roman" w:hAnsi="Times New Roman"/>
          <w:sz w:val="20"/>
          <w:szCs w:val="20"/>
        </w:rPr>
        <w:t xml:space="preserve">WPR po 2020 </w:t>
      </w:r>
      <w:r w:rsidR="008E3B98">
        <w:rPr>
          <w:rFonts w:ascii="Times New Roman" w:hAnsi="Times New Roman"/>
          <w:sz w:val="20"/>
          <w:szCs w:val="20"/>
        </w:rPr>
        <w:t>roku</w:t>
      </w:r>
      <w:r w:rsidRPr="009524E5">
        <w:rPr>
          <w:rFonts w:ascii="Times New Roman" w:hAnsi="Times New Roman"/>
          <w:sz w:val="20"/>
          <w:szCs w:val="20"/>
        </w:rPr>
        <w:t>. Niestety nic nie wskazuje na to, aby KE i kraje członkowskie były w</w:t>
      </w:r>
      <w:r w:rsidR="00460D1A" w:rsidRPr="009524E5">
        <w:rPr>
          <w:rFonts w:ascii="Times New Roman" w:hAnsi="Times New Roman"/>
          <w:sz w:val="20"/>
          <w:szCs w:val="20"/>
        </w:rPr>
        <w:t xml:space="preserve"> </w:t>
      </w:r>
      <w:r w:rsidRPr="009524E5">
        <w:rPr>
          <w:rFonts w:ascii="Times New Roman" w:hAnsi="Times New Roman"/>
          <w:sz w:val="20"/>
          <w:szCs w:val="20"/>
        </w:rPr>
        <w:t xml:space="preserve">stanie wypracować </w:t>
      </w:r>
      <w:r w:rsidR="00460D1A" w:rsidRPr="009524E5">
        <w:rPr>
          <w:rFonts w:ascii="Times New Roman" w:hAnsi="Times New Roman"/>
          <w:sz w:val="20"/>
          <w:szCs w:val="20"/>
        </w:rPr>
        <w:t xml:space="preserve">w </w:t>
      </w:r>
      <w:r w:rsidRPr="009524E5">
        <w:rPr>
          <w:rFonts w:ascii="Times New Roman" w:hAnsi="Times New Roman"/>
          <w:sz w:val="20"/>
          <w:szCs w:val="20"/>
        </w:rPr>
        <w:t xml:space="preserve">najbliższym czasie wspólny scenariusz zmian polityki rolnej. </w:t>
      </w:r>
      <w:r w:rsidR="00001ACB" w:rsidRPr="009524E5">
        <w:rPr>
          <w:rFonts w:ascii="Times New Roman" w:hAnsi="Times New Roman"/>
          <w:sz w:val="20"/>
          <w:szCs w:val="20"/>
        </w:rPr>
        <w:t>Niepewność potęguje rozpoczęcie procedury wyjścia Wielkiej Brytanii z UE, w związku z czym KE poważnie rozważa opóźnienie przedstawienia wniosków ustawodawczych w sprawie przyszłego budżetu UE do momentu zakończenia negocjacji nad Brexitem</w:t>
      </w:r>
      <w:r w:rsidR="00001ACB" w:rsidRPr="009524E5">
        <w:rPr>
          <w:rStyle w:val="FootnoteReference"/>
          <w:rFonts w:ascii="Times New Roman" w:hAnsi="Times New Roman"/>
          <w:sz w:val="20"/>
          <w:szCs w:val="20"/>
        </w:rPr>
        <w:footnoteReference w:id="14"/>
      </w:r>
      <w:r w:rsidR="00460D1A" w:rsidRPr="009524E5">
        <w:rPr>
          <w:rFonts w:ascii="Times New Roman" w:hAnsi="Times New Roman"/>
          <w:sz w:val="20"/>
          <w:szCs w:val="20"/>
        </w:rPr>
        <w:t>, co nie nastąp</w:t>
      </w:r>
      <w:r w:rsidR="003F2F85" w:rsidRPr="009524E5">
        <w:rPr>
          <w:rFonts w:ascii="Times New Roman" w:hAnsi="Times New Roman"/>
          <w:sz w:val="20"/>
          <w:szCs w:val="20"/>
        </w:rPr>
        <w:t>i</w:t>
      </w:r>
      <w:r w:rsidR="00A745B8">
        <w:rPr>
          <w:rFonts w:ascii="Times New Roman" w:hAnsi="Times New Roman"/>
          <w:sz w:val="20"/>
          <w:szCs w:val="20"/>
        </w:rPr>
        <w:t xml:space="preserve"> </w:t>
      </w:r>
      <w:r w:rsidR="00460D1A" w:rsidRPr="009524E5">
        <w:rPr>
          <w:rFonts w:ascii="Times New Roman" w:hAnsi="Times New Roman"/>
          <w:sz w:val="20"/>
          <w:szCs w:val="20"/>
        </w:rPr>
        <w:t>wcześniej niż przed grudniem 2018 roku</w:t>
      </w:r>
      <w:r w:rsidR="00001ACB" w:rsidRPr="009524E5">
        <w:rPr>
          <w:rFonts w:ascii="Times New Roman" w:hAnsi="Times New Roman"/>
          <w:sz w:val="20"/>
          <w:szCs w:val="20"/>
        </w:rPr>
        <w:t>. Tymczasem brak jasności co kształtu finansowania utrudnia realn</w:t>
      </w:r>
      <w:r w:rsidR="00A745B8">
        <w:rPr>
          <w:rFonts w:ascii="Times New Roman" w:hAnsi="Times New Roman"/>
          <w:sz w:val="20"/>
          <w:szCs w:val="20"/>
        </w:rPr>
        <w:t>ą</w:t>
      </w:r>
      <w:r w:rsidR="00001ACB" w:rsidRPr="009524E5">
        <w:rPr>
          <w:rFonts w:ascii="Times New Roman" w:hAnsi="Times New Roman"/>
          <w:sz w:val="20"/>
          <w:szCs w:val="20"/>
        </w:rPr>
        <w:t xml:space="preserve">dyskusję o nowym kształcie WPR. </w:t>
      </w:r>
      <w:r w:rsidR="007D063C">
        <w:rPr>
          <w:rFonts w:ascii="Times New Roman" w:hAnsi="Times New Roman"/>
          <w:sz w:val="20"/>
          <w:szCs w:val="20"/>
        </w:rPr>
        <w:t xml:space="preserve"> </w:t>
      </w:r>
      <w:r w:rsidR="00001ACB" w:rsidRPr="009524E5">
        <w:rPr>
          <w:rFonts w:ascii="Times New Roman" w:hAnsi="Times New Roman"/>
          <w:sz w:val="20"/>
          <w:szCs w:val="20"/>
        </w:rPr>
        <w:t>W UE pojawiają się już nieformalne propozycje, aby przedłużyć aktualną perspektywę finansową o kilka lat, wykorzystując zmia</w:t>
      </w:r>
      <w:r w:rsidR="00460D1A" w:rsidRPr="009524E5">
        <w:rPr>
          <w:rFonts w:ascii="Times New Roman" w:hAnsi="Times New Roman"/>
          <w:sz w:val="20"/>
          <w:szCs w:val="20"/>
        </w:rPr>
        <w:t>ny regulacji uzgadniane w trakci</w:t>
      </w:r>
      <w:r w:rsidR="00001ACB" w:rsidRPr="009524E5">
        <w:rPr>
          <w:rFonts w:ascii="Times New Roman" w:hAnsi="Times New Roman"/>
          <w:sz w:val="20"/>
          <w:szCs w:val="20"/>
        </w:rPr>
        <w:t xml:space="preserve">e </w:t>
      </w:r>
      <w:r w:rsidR="00001ACB" w:rsidRPr="009524E5">
        <w:rPr>
          <w:rFonts w:ascii="Times New Roman" w:hAnsi="Times New Roman"/>
          <w:sz w:val="20"/>
          <w:szCs w:val="20"/>
        </w:rPr>
        <w:lastRenderedPageBreak/>
        <w:t xml:space="preserve">negocjacji rozporządzenia OMNIBUS, aby dać sobie czas na przygotowanie głębszej reformy i skuteczniej podołać nowym wyzwaniom. </w:t>
      </w:r>
      <w:r w:rsidRPr="009524E5">
        <w:rPr>
          <w:rFonts w:ascii="Times New Roman" w:hAnsi="Times New Roman"/>
          <w:sz w:val="20"/>
          <w:szCs w:val="20"/>
        </w:rPr>
        <w:t>Czeka nas więc zapewne kontynuacja obowiązujących rozwiązań. Warto jednak</w:t>
      </w:r>
      <w:r w:rsidR="00001ACB" w:rsidRPr="009524E5">
        <w:rPr>
          <w:rFonts w:ascii="Times New Roman" w:hAnsi="Times New Roman"/>
          <w:sz w:val="20"/>
          <w:szCs w:val="20"/>
        </w:rPr>
        <w:t xml:space="preserve">, aby </w:t>
      </w:r>
      <w:r w:rsidRPr="009524E5">
        <w:rPr>
          <w:rFonts w:ascii="Times New Roman" w:hAnsi="Times New Roman"/>
          <w:sz w:val="20"/>
          <w:szCs w:val="20"/>
        </w:rPr>
        <w:t xml:space="preserve">naświetlić i wskazać </w:t>
      </w:r>
      <w:r w:rsidR="003F2F85" w:rsidRPr="009524E5">
        <w:rPr>
          <w:rFonts w:ascii="Times New Roman" w:hAnsi="Times New Roman"/>
          <w:sz w:val="20"/>
          <w:szCs w:val="20"/>
        </w:rPr>
        <w:t xml:space="preserve">czytelnikom </w:t>
      </w:r>
      <w:r w:rsidRPr="009524E5">
        <w:rPr>
          <w:rFonts w:ascii="Times New Roman" w:hAnsi="Times New Roman"/>
          <w:sz w:val="20"/>
          <w:szCs w:val="20"/>
        </w:rPr>
        <w:t>kluczowe uwarunkowania, które także rząd Polski winien brać pod uwagę uczestniczą</w:t>
      </w:r>
      <w:r w:rsidR="00460D1A" w:rsidRPr="009524E5">
        <w:rPr>
          <w:rFonts w:ascii="Times New Roman" w:hAnsi="Times New Roman"/>
          <w:sz w:val="20"/>
          <w:szCs w:val="20"/>
        </w:rPr>
        <w:t>c</w:t>
      </w:r>
      <w:r w:rsidRPr="009524E5">
        <w:rPr>
          <w:rFonts w:ascii="Times New Roman" w:hAnsi="Times New Roman"/>
          <w:sz w:val="20"/>
          <w:szCs w:val="20"/>
        </w:rPr>
        <w:t xml:space="preserve"> w dyskusji na przyszłym, a przede wszystkim </w:t>
      </w:r>
      <w:r w:rsidR="0034798B" w:rsidRPr="009524E5">
        <w:rPr>
          <w:rFonts w:ascii="Times New Roman" w:hAnsi="Times New Roman"/>
          <w:sz w:val="20"/>
          <w:szCs w:val="20"/>
        </w:rPr>
        <w:t>pożądanym z punktu widzenia polskiego rolnictwa kształtem WPR.</w:t>
      </w:r>
    </w:p>
    <w:p w14:paraId="2F9EE620" w14:textId="01522CDF" w:rsidR="006C3DC9" w:rsidRDefault="00094329" w:rsidP="009524E5">
      <w:pPr>
        <w:rPr>
          <w:rFonts w:ascii="Arial" w:hAnsi="Arial" w:cs="Arial"/>
          <w:b/>
          <w:sz w:val="24"/>
          <w:szCs w:val="24"/>
          <w:lang w:val="en-GB"/>
        </w:rPr>
      </w:pPr>
      <w:proofErr w:type="spellStart"/>
      <w:r>
        <w:rPr>
          <w:rFonts w:ascii="Arial" w:hAnsi="Arial" w:cs="Arial"/>
          <w:b/>
          <w:sz w:val="24"/>
          <w:szCs w:val="24"/>
          <w:lang w:val="en-GB"/>
        </w:rPr>
        <w:t>Spis</w:t>
      </w:r>
      <w:proofErr w:type="spellEnd"/>
      <w:r>
        <w:rPr>
          <w:rFonts w:ascii="Arial" w:hAnsi="Arial" w:cs="Arial"/>
          <w:b/>
          <w:sz w:val="24"/>
          <w:szCs w:val="24"/>
          <w:lang w:val="en-GB"/>
        </w:rPr>
        <w:t xml:space="preserve"> </w:t>
      </w:r>
      <w:proofErr w:type="spellStart"/>
      <w:r>
        <w:rPr>
          <w:rFonts w:ascii="Arial" w:hAnsi="Arial" w:cs="Arial"/>
          <w:b/>
          <w:sz w:val="24"/>
          <w:szCs w:val="24"/>
          <w:lang w:val="en-GB"/>
        </w:rPr>
        <w:t>literatury</w:t>
      </w:r>
      <w:proofErr w:type="spellEnd"/>
    </w:p>
    <w:p w14:paraId="55B16010" w14:textId="77777777" w:rsidR="00094329" w:rsidRPr="001F1B85" w:rsidRDefault="00094329" w:rsidP="00C87342">
      <w:pPr>
        <w:pStyle w:val="ListParagraph"/>
        <w:numPr>
          <w:ilvl w:val="0"/>
          <w:numId w:val="12"/>
        </w:numPr>
        <w:spacing w:after="0" w:line="240" w:lineRule="auto"/>
        <w:rPr>
          <w:rFonts w:ascii="Times New Roman" w:hAnsi="Times New Roman" w:cs="Times New Roman"/>
          <w:sz w:val="16"/>
          <w:szCs w:val="16"/>
        </w:rPr>
      </w:pPr>
      <w:r w:rsidRPr="004D1A07">
        <w:rPr>
          <w:rFonts w:ascii="Times New Roman" w:hAnsi="Times New Roman" w:cs="Times New Roman"/>
          <w:i/>
          <w:sz w:val="16"/>
          <w:szCs w:val="16"/>
          <w:lang w:val="en-GB"/>
        </w:rPr>
        <w:t>Agricultural Policy Analysis and Perspectives</w:t>
      </w:r>
      <w:r w:rsidRPr="004D1A07">
        <w:rPr>
          <w:rFonts w:ascii="Times New Roman" w:hAnsi="Times New Roman" w:cs="Times New Roman"/>
          <w:sz w:val="16"/>
          <w:szCs w:val="16"/>
          <w:lang w:val="en-GB"/>
        </w:rPr>
        <w:t>, 2017/AGRI/001, AGRI.DDG</w:t>
      </w:r>
      <w:proofErr w:type="gramStart"/>
      <w:r w:rsidRPr="004D1A07">
        <w:rPr>
          <w:rFonts w:ascii="Times New Roman" w:hAnsi="Times New Roman" w:cs="Times New Roman"/>
          <w:sz w:val="16"/>
          <w:szCs w:val="16"/>
          <w:lang w:val="en-GB"/>
        </w:rPr>
        <w:t>1.C.</w:t>
      </w:r>
      <w:proofErr w:type="gramEnd"/>
      <w:r w:rsidRPr="004D1A07">
        <w:rPr>
          <w:rFonts w:ascii="Times New Roman" w:hAnsi="Times New Roman" w:cs="Times New Roman"/>
          <w:sz w:val="16"/>
          <w:szCs w:val="16"/>
          <w:lang w:val="en-GB"/>
        </w:rPr>
        <w:t xml:space="preserve">1 . </w:t>
      </w:r>
      <w:hyperlink r:id="rId8" w:history="1">
        <w:r w:rsidRPr="001F1B85">
          <w:rPr>
            <w:rStyle w:val="Hyperlink"/>
            <w:rFonts w:ascii="Times New Roman" w:hAnsi="Times New Roman" w:cs="Times New Roman"/>
            <w:sz w:val="16"/>
            <w:szCs w:val="16"/>
          </w:rPr>
          <w:t>http://ec.europa.eu/smart-regulation/roadmaps/docs/2017_agri_001_cap_modernisation_en.pdf</w:t>
        </w:r>
      </w:hyperlink>
    </w:p>
    <w:p w14:paraId="10BF2FD7" w14:textId="77777777" w:rsidR="00094329" w:rsidRPr="004D1A07" w:rsidRDefault="00094329" w:rsidP="00C87342">
      <w:pPr>
        <w:pStyle w:val="ListParagraph"/>
        <w:numPr>
          <w:ilvl w:val="0"/>
          <w:numId w:val="12"/>
        </w:numPr>
        <w:spacing w:after="0" w:line="240" w:lineRule="auto"/>
        <w:rPr>
          <w:rFonts w:ascii="Times New Roman" w:hAnsi="Times New Roman" w:cs="Times New Roman"/>
          <w:sz w:val="16"/>
          <w:szCs w:val="16"/>
          <w:lang w:val="en-GB"/>
        </w:rPr>
      </w:pPr>
      <w:r w:rsidRPr="004D1A07">
        <w:rPr>
          <w:rFonts w:ascii="Times New Roman" w:hAnsi="Times New Roman" w:cs="Times New Roman"/>
          <w:bCs/>
          <w:i/>
          <w:color w:val="000000"/>
          <w:sz w:val="16"/>
          <w:szCs w:val="16"/>
          <w:lang w:val="en-US" w:eastAsia="pl-PL"/>
        </w:rPr>
        <w:t>S strategic approach to EU agricultural research and innovation</w:t>
      </w:r>
      <w:r w:rsidRPr="004D1A07">
        <w:rPr>
          <w:rFonts w:ascii="Times New Roman" w:hAnsi="Times New Roman" w:cs="Times New Roman"/>
          <w:bCs/>
          <w:color w:val="000000"/>
          <w:sz w:val="16"/>
          <w:szCs w:val="16"/>
          <w:lang w:val="en-US" w:eastAsia="pl-PL"/>
        </w:rPr>
        <w:t xml:space="preserve">, 2016, European Commission, final paper, </w:t>
      </w:r>
      <w:proofErr w:type="gramStart"/>
      <w:r w:rsidRPr="004D1A07">
        <w:rPr>
          <w:rFonts w:ascii="Times New Roman" w:hAnsi="Times New Roman" w:cs="Times New Roman"/>
          <w:bCs/>
          <w:color w:val="000000"/>
          <w:sz w:val="16"/>
          <w:szCs w:val="16"/>
          <w:lang w:val="en-US" w:eastAsia="pl-PL"/>
        </w:rPr>
        <w:t>RES</w:t>
      </w:r>
      <w:r w:rsidRPr="004D1A07">
        <w:rPr>
          <w:rFonts w:ascii="Times New Roman" w:hAnsi="Times New Roman" w:cs="Times New Roman"/>
          <w:sz w:val="16"/>
          <w:szCs w:val="16"/>
          <w:lang w:val="en-US" w:eastAsia="pl-PL"/>
        </w:rPr>
        <w:t>(</w:t>
      </w:r>
      <w:proofErr w:type="gramEnd"/>
      <w:r w:rsidRPr="004D1A07">
        <w:rPr>
          <w:rFonts w:ascii="Times New Roman" w:hAnsi="Times New Roman" w:cs="Times New Roman"/>
          <w:sz w:val="16"/>
          <w:szCs w:val="16"/>
          <w:lang w:val="en-US" w:eastAsia="pl-PL"/>
        </w:rPr>
        <w:t>16) 6957:1</w:t>
      </w:r>
    </w:p>
    <w:p w14:paraId="119AFF69" w14:textId="77777777" w:rsidR="00094329" w:rsidRPr="004D1A07" w:rsidRDefault="00094329" w:rsidP="00C87342">
      <w:pPr>
        <w:pStyle w:val="ListParagraph"/>
        <w:numPr>
          <w:ilvl w:val="0"/>
          <w:numId w:val="12"/>
        </w:numPr>
        <w:tabs>
          <w:tab w:val="left" w:pos="284"/>
        </w:tabs>
        <w:spacing w:after="0" w:line="240" w:lineRule="auto"/>
        <w:jc w:val="both"/>
        <w:rPr>
          <w:rFonts w:ascii="Times New Roman" w:eastAsia="MyriadPro-Light" w:hAnsi="Times New Roman" w:cs="Times New Roman"/>
          <w:color w:val="000000"/>
          <w:sz w:val="16"/>
          <w:szCs w:val="16"/>
          <w:lang w:val="en-GB"/>
        </w:rPr>
      </w:pPr>
      <w:proofErr w:type="spellStart"/>
      <w:r w:rsidRPr="004D1A07">
        <w:rPr>
          <w:rFonts w:ascii="Times New Roman" w:eastAsia="MyriadPro-Light" w:hAnsi="Times New Roman" w:cs="Times New Roman"/>
          <w:color w:val="000000"/>
          <w:sz w:val="16"/>
          <w:szCs w:val="16"/>
          <w:lang w:val="en-GB"/>
        </w:rPr>
        <w:t>Buckwell</w:t>
      </w:r>
      <w:proofErr w:type="spellEnd"/>
      <w:r w:rsidRPr="004D1A07">
        <w:rPr>
          <w:rFonts w:ascii="Times New Roman" w:eastAsia="MyriadPro-Light" w:hAnsi="Times New Roman" w:cs="Times New Roman"/>
          <w:color w:val="000000"/>
          <w:sz w:val="16"/>
          <w:szCs w:val="16"/>
          <w:lang w:val="en-GB"/>
        </w:rPr>
        <w:t xml:space="preserve">, A. et al. 2017. CAP - </w:t>
      </w:r>
      <w:r w:rsidRPr="004D1A07">
        <w:rPr>
          <w:rFonts w:ascii="Times New Roman" w:eastAsia="MyriadPro-Light" w:hAnsi="Times New Roman" w:cs="Times New Roman"/>
          <w:i/>
          <w:iCs/>
          <w:color w:val="000000"/>
          <w:sz w:val="16"/>
          <w:szCs w:val="16"/>
          <w:lang w:val="en-GB"/>
        </w:rPr>
        <w:t xml:space="preserve">Thinking Out of the Box: Further modernisation of the CAP – why, what and how? </w:t>
      </w:r>
      <w:r w:rsidRPr="004D1A07">
        <w:rPr>
          <w:rFonts w:ascii="Times New Roman" w:eastAsia="MyriadPro-Light" w:hAnsi="Times New Roman" w:cs="Times New Roman"/>
          <w:color w:val="000000"/>
          <w:sz w:val="16"/>
          <w:szCs w:val="16"/>
          <w:lang w:val="en-GB"/>
        </w:rPr>
        <w:t>RISE Foundation, Brussels</w:t>
      </w:r>
    </w:p>
    <w:p w14:paraId="02450A62" w14:textId="77777777" w:rsidR="00094329" w:rsidRPr="004D1A07" w:rsidRDefault="00094329" w:rsidP="00C87342">
      <w:pPr>
        <w:pStyle w:val="ListParagraph"/>
        <w:numPr>
          <w:ilvl w:val="0"/>
          <w:numId w:val="12"/>
        </w:numPr>
        <w:tabs>
          <w:tab w:val="left" w:pos="284"/>
        </w:tabs>
        <w:spacing w:after="0" w:line="240" w:lineRule="auto"/>
        <w:jc w:val="both"/>
        <w:rPr>
          <w:rFonts w:ascii="Times New Roman" w:hAnsi="Times New Roman" w:cs="Times New Roman"/>
          <w:sz w:val="16"/>
          <w:szCs w:val="16"/>
          <w:lang w:val="en-GB"/>
        </w:rPr>
      </w:pPr>
      <w:proofErr w:type="spellStart"/>
      <w:r w:rsidRPr="004D1A07">
        <w:rPr>
          <w:rFonts w:ascii="Times New Roman" w:hAnsi="Times New Roman" w:cs="Times New Roman"/>
          <w:sz w:val="16"/>
          <w:szCs w:val="16"/>
          <w:lang w:val="en-GB"/>
        </w:rPr>
        <w:t>Buckwell</w:t>
      </w:r>
      <w:proofErr w:type="spellEnd"/>
      <w:r w:rsidRPr="004D1A07">
        <w:rPr>
          <w:rFonts w:ascii="Times New Roman" w:hAnsi="Times New Roman" w:cs="Times New Roman"/>
          <w:sz w:val="16"/>
          <w:szCs w:val="16"/>
          <w:lang w:val="en-GB"/>
        </w:rPr>
        <w:t xml:space="preserve"> A., 2015, </w:t>
      </w:r>
      <w:r w:rsidRPr="004D1A07">
        <w:rPr>
          <w:rFonts w:ascii="Times New Roman" w:eastAsia="Times New Roman" w:hAnsi="Times New Roman" w:cs="Times New Roman"/>
          <w:bCs/>
          <w:i/>
          <w:sz w:val="16"/>
          <w:szCs w:val="16"/>
          <w:lang w:val="en" w:eastAsia="pl-PL"/>
        </w:rPr>
        <w:t>Keep chewing this bone: a trickle of ideas on a future CAP</w:t>
      </w:r>
      <w:r w:rsidRPr="004D1A07">
        <w:rPr>
          <w:rFonts w:ascii="Times New Roman" w:eastAsia="Times New Roman" w:hAnsi="Times New Roman" w:cs="Times New Roman"/>
          <w:bCs/>
          <w:sz w:val="16"/>
          <w:szCs w:val="16"/>
          <w:lang w:val="en" w:eastAsia="pl-PL"/>
        </w:rPr>
        <w:t xml:space="preserve">, </w:t>
      </w:r>
      <w:hyperlink r:id="rId9" w:history="1">
        <w:r w:rsidRPr="004D1A07">
          <w:rPr>
            <w:rStyle w:val="Hyperlink"/>
            <w:rFonts w:ascii="Times New Roman" w:hAnsi="Times New Roman" w:cs="Times New Roman"/>
            <w:sz w:val="16"/>
            <w:szCs w:val="16"/>
            <w:lang w:val="en-GB"/>
          </w:rPr>
          <w:t>http://www.cap2020.ieep.eu/2015/6/10/keep-chewing-this-bone-a-trickle-of-ideas-on-a-future-cap</w:t>
        </w:r>
      </w:hyperlink>
    </w:p>
    <w:p w14:paraId="3A2F0EBE" w14:textId="77777777" w:rsidR="00094329" w:rsidRPr="004D1A07" w:rsidRDefault="00094329" w:rsidP="00C87342">
      <w:pPr>
        <w:pStyle w:val="ListParagraph"/>
        <w:numPr>
          <w:ilvl w:val="0"/>
          <w:numId w:val="12"/>
        </w:numPr>
        <w:tabs>
          <w:tab w:val="left" w:pos="284"/>
        </w:tabs>
        <w:spacing w:after="0" w:line="240" w:lineRule="auto"/>
        <w:jc w:val="both"/>
        <w:rPr>
          <w:rFonts w:ascii="Times New Roman" w:hAnsi="Times New Roman" w:cs="Times New Roman"/>
          <w:sz w:val="16"/>
          <w:szCs w:val="16"/>
          <w:lang w:val="en-GB"/>
        </w:rPr>
      </w:pPr>
      <w:r w:rsidRPr="004D1A07">
        <w:rPr>
          <w:rFonts w:ascii="Times New Roman" w:hAnsi="Times New Roman" w:cs="Times New Roman"/>
          <w:i/>
          <w:sz w:val="16"/>
          <w:szCs w:val="16"/>
          <w:lang w:val="en-GB"/>
        </w:rPr>
        <w:t>Delivering a Europe that protects, empowers and defends</w:t>
      </w:r>
      <w:r w:rsidRPr="004D1A07">
        <w:rPr>
          <w:rFonts w:ascii="Times New Roman" w:hAnsi="Times New Roman" w:cs="Times New Roman"/>
          <w:sz w:val="16"/>
          <w:szCs w:val="16"/>
          <w:lang w:val="en-GB"/>
        </w:rPr>
        <w:t xml:space="preserve">, 2017, Communication from the Commission to the European Parliament, the Council, the European Economic and Social Committee and the Committee of the Regions. Commission Work Programme 2017, </w:t>
      </w:r>
      <w:proofErr w:type="gramStart"/>
      <w:r w:rsidRPr="004D1A07">
        <w:rPr>
          <w:rFonts w:ascii="Times New Roman" w:hAnsi="Times New Roman" w:cs="Times New Roman"/>
          <w:sz w:val="16"/>
          <w:szCs w:val="16"/>
          <w:lang w:val="en-GB"/>
        </w:rPr>
        <w:t>COM(</w:t>
      </w:r>
      <w:proofErr w:type="gramEnd"/>
      <w:r w:rsidRPr="004D1A07">
        <w:rPr>
          <w:rFonts w:ascii="Times New Roman" w:hAnsi="Times New Roman" w:cs="Times New Roman"/>
          <w:sz w:val="16"/>
          <w:szCs w:val="16"/>
          <w:lang w:val="en-GB"/>
        </w:rPr>
        <w:t>2016) 710 final</w:t>
      </w:r>
    </w:p>
    <w:p w14:paraId="7AEC6936" w14:textId="77777777" w:rsidR="00094329" w:rsidRPr="004D1A07" w:rsidRDefault="00094329" w:rsidP="00C87342">
      <w:pPr>
        <w:pStyle w:val="ListParagraph"/>
        <w:numPr>
          <w:ilvl w:val="0"/>
          <w:numId w:val="12"/>
        </w:numPr>
        <w:tabs>
          <w:tab w:val="left" w:pos="284"/>
        </w:tabs>
        <w:spacing w:after="0" w:line="240" w:lineRule="auto"/>
        <w:jc w:val="both"/>
        <w:rPr>
          <w:rFonts w:ascii="Times New Roman" w:hAnsi="Times New Roman" w:cs="Times New Roman"/>
          <w:bCs/>
          <w:sz w:val="16"/>
          <w:szCs w:val="16"/>
          <w:lang w:val="en-GB"/>
        </w:rPr>
      </w:pPr>
      <w:r w:rsidRPr="004D1A07">
        <w:rPr>
          <w:rFonts w:ascii="Times New Roman" w:hAnsi="Times New Roman" w:cs="Times New Roman"/>
          <w:i/>
          <w:sz w:val="16"/>
          <w:szCs w:val="16"/>
          <w:lang w:val="en-GB"/>
        </w:rPr>
        <w:t>Common Agricultural Policy 2014-2020: Direct payments. A reference not</w:t>
      </w:r>
      <w:r w:rsidRPr="004D1A07">
        <w:rPr>
          <w:rFonts w:ascii="Times New Roman" w:hAnsi="Times New Roman" w:cs="Times New Roman"/>
          <w:sz w:val="16"/>
          <w:szCs w:val="16"/>
          <w:lang w:val="en-GB"/>
        </w:rPr>
        <w:t xml:space="preserve">e, </w:t>
      </w:r>
      <w:proofErr w:type="gramStart"/>
      <w:r w:rsidRPr="004D1A07">
        <w:rPr>
          <w:rFonts w:ascii="Times New Roman" w:hAnsi="Times New Roman" w:cs="Times New Roman"/>
          <w:sz w:val="16"/>
          <w:szCs w:val="16"/>
          <w:lang w:val="en-GB"/>
        </w:rPr>
        <w:t>2016,  IN</w:t>
      </w:r>
      <w:proofErr w:type="gramEnd"/>
      <w:r w:rsidRPr="004D1A07">
        <w:rPr>
          <w:rFonts w:ascii="Times New Roman" w:hAnsi="Times New Roman" w:cs="Times New Roman"/>
          <w:sz w:val="16"/>
          <w:szCs w:val="16"/>
          <w:lang w:val="en-GB"/>
        </w:rPr>
        <w:t>-DEPTH ANALYSIS, EPRS, December 2016 PE 595.864</w:t>
      </w:r>
    </w:p>
    <w:p w14:paraId="75E7A71B" w14:textId="77777777" w:rsidR="00094329" w:rsidRPr="004D1A07" w:rsidRDefault="00094329" w:rsidP="00C87342">
      <w:pPr>
        <w:pStyle w:val="ListParagraph"/>
        <w:numPr>
          <w:ilvl w:val="0"/>
          <w:numId w:val="12"/>
        </w:numPr>
        <w:tabs>
          <w:tab w:val="left" w:pos="284"/>
        </w:tabs>
        <w:spacing w:after="0" w:line="240" w:lineRule="auto"/>
        <w:jc w:val="both"/>
        <w:rPr>
          <w:rFonts w:ascii="Times New Roman" w:eastAsia="MyriadPro-Light" w:hAnsi="Times New Roman" w:cs="Times New Roman"/>
          <w:sz w:val="16"/>
          <w:szCs w:val="16"/>
          <w:lang w:val="en-GB"/>
        </w:rPr>
      </w:pPr>
      <w:r w:rsidRPr="004D1A07">
        <w:rPr>
          <w:rFonts w:ascii="Times New Roman" w:eastAsia="MyriadPro-Light" w:hAnsi="Times New Roman" w:cs="Times New Roman"/>
          <w:i/>
          <w:sz w:val="16"/>
          <w:szCs w:val="16"/>
          <w:lang w:val="en-GB"/>
        </w:rPr>
        <w:t>EPP views on the common agricultural policy: for a strong, sustainable and innovative EU agriculture</w:t>
      </w:r>
      <w:r w:rsidRPr="004D1A07">
        <w:rPr>
          <w:rFonts w:ascii="Times New Roman" w:eastAsia="MyriadPro-Light" w:hAnsi="Times New Roman" w:cs="Times New Roman"/>
          <w:sz w:val="16"/>
          <w:szCs w:val="16"/>
          <w:lang w:val="en-GB"/>
        </w:rPr>
        <w:t>, 2017, Adopted by the EPP Assembly on 4 September 2017 in Copenhagen</w:t>
      </w:r>
    </w:p>
    <w:p w14:paraId="53029E0F" w14:textId="77777777" w:rsidR="00094329" w:rsidRPr="004D1A07" w:rsidRDefault="00094329" w:rsidP="00C87342">
      <w:pPr>
        <w:numPr>
          <w:ilvl w:val="0"/>
          <w:numId w:val="12"/>
        </w:numPr>
        <w:tabs>
          <w:tab w:val="left" w:pos="284"/>
        </w:tabs>
        <w:spacing w:after="0" w:line="240" w:lineRule="auto"/>
        <w:contextualSpacing/>
        <w:jc w:val="both"/>
        <w:rPr>
          <w:rFonts w:ascii="Times New Roman" w:eastAsia="Times New Roman" w:hAnsi="Times New Roman" w:cs="Times New Roman"/>
          <w:sz w:val="16"/>
          <w:szCs w:val="16"/>
          <w:lang w:val="en-GB" w:eastAsia="pl-PL"/>
        </w:rPr>
      </w:pPr>
      <w:r w:rsidRPr="004D1A07">
        <w:rPr>
          <w:rFonts w:ascii="Times New Roman" w:eastAsiaTheme="minorEastAsia" w:hAnsi="Times New Roman" w:cs="Times New Roman"/>
          <w:i/>
          <w:color w:val="000000" w:themeColor="text1"/>
          <w:kern w:val="24"/>
          <w:sz w:val="16"/>
          <w:szCs w:val="16"/>
          <w:lang w:val="en-US" w:eastAsia="pl-PL"/>
        </w:rPr>
        <w:t>Evolution of the Budget Dedicated for Rural Development Policy</w:t>
      </w:r>
      <w:r w:rsidRPr="004D1A07">
        <w:rPr>
          <w:rFonts w:ascii="Times New Roman" w:eastAsiaTheme="minorEastAsia" w:hAnsi="Times New Roman" w:cs="Times New Roman"/>
          <w:color w:val="000000" w:themeColor="text1"/>
          <w:kern w:val="24"/>
          <w:sz w:val="16"/>
          <w:szCs w:val="16"/>
          <w:lang w:val="en-US" w:eastAsia="pl-PL"/>
        </w:rPr>
        <w:t xml:space="preserve">, </w:t>
      </w:r>
      <w:r>
        <w:rPr>
          <w:rFonts w:ascii="Times New Roman" w:eastAsiaTheme="minorEastAsia" w:hAnsi="Times New Roman" w:cs="Times New Roman"/>
          <w:color w:val="000000" w:themeColor="text1"/>
          <w:kern w:val="24"/>
          <w:sz w:val="16"/>
          <w:szCs w:val="16"/>
          <w:lang w:val="en-US" w:eastAsia="pl-PL"/>
        </w:rPr>
        <w:t xml:space="preserve">2016, </w:t>
      </w:r>
      <w:r w:rsidRPr="004D1A07">
        <w:rPr>
          <w:rFonts w:ascii="Times New Roman" w:eastAsiaTheme="minorEastAsia" w:hAnsi="Times New Roman" w:cs="Times New Roman"/>
          <w:color w:val="000000" w:themeColor="text1"/>
          <w:kern w:val="24"/>
          <w:sz w:val="16"/>
          <w:szCs w:val="16"/>
          <w:lang w:val="en-US" w:eastAsia="pl-PL"/>
        </w:rPr>
        <w:t xml:space="preserve">European Union- Committee of Regions, </w:t>
      </w:r>
      <w:proofErr w:type="gramStart"/>
      <w:r w:rsidRPr="004D1A07">
        <w:rPr>
          <w:rFonts w:ascii="Times New Roman" w:eastAsiaTheme="minorEastAsia" w:hAnsi="Times New Roman" w:cs="Times New Roman"/>
          <w:color w:val="000000" w:themeColor="text1"/>
          <w:kern w:val="24"/>
          <w:sz w:val="16"/>
          <w:szCs w:val="16"/>
          <w:lang w:val="en-US" w:eastAsia="pl-PL"/>
        </w:rPr>
        <w:t>DR(</w:t>
      </w:r>
      <w:proofErr w:type="gramEnd"/>
      <w:r w:rsidRPr="004D1A07">
        <w:rPr>
          <w:rFonts w:ascii="Times New Roman" w:eastAsiaTheme="minorEastAsia" w:hAnsi="Times New Roman" w:cs="Times New Roman"/>
          <w:color w:val="000000" w:themeColor="text1"/>
          <w:kern w:val="24"/>
          <w:sz w:val="16"/>
          <w:szCs w:val="16"/>
          <w:lang w:val="en-US" w:eastAsia="pl-PL"/>
        </w:rPr>
        <w:t>16) 11124:1</w:t>
      </w:r>
    </w:p>
    <w:p w14:paraId="26768AFB" w14:textId="77777777" w:rsidR="00094329" w:rsidRPr="004D1A07" w:rsidRDefault="00094329" w:rsidP="00C87342">
      <w:pPr>
        <w:pStyle w:val="ListParagraph"/>
        <w:numPr>
          <w:ilvl w:val="0"/>
          <w:numId w:val="12"/>
        </w:numPr>
        <w:tabs>
          <w:tab w:val="left" w:pos="284"/>
        </w:tabs>
        <w:spacing w:after="0" w:line="240" w:lineRule="auto"/>
        <w:jc w:val="both"/>
        <w:rPr>
          <w:rFonts w:ascii="Times New Roman" w:eastAsia="Times New Roman" w:hAnsi="Times New Roman" w:cs="Times New Roman"/>
          <w:kern w:val="4"/>
          <w:sz w:val="16"/>
          <w:szCs w:val="16"/>
          <w:lang w:val="en-GB" w:eastAsia="de-DE"/>
        </w:rPr>
      </w:pPr>
      <w:r w:rsidRPr="004D1A07">
        <w:rPr>
          <w:rFonts w:ascii="Times New Roman" w:eastAsia="+mn-ea" w:hAnsi="Times New Roman" w:cs="Times New Roman"/>
          <w:i/>
          <w:color w:val="000000"/>
          <w:kern w:val="24"/>
          <w:sz w:val="16"/>
          <w:szCs w:val="16"/>
          <w:lang w:val="en-GB" w:eastAsia="pl-PL"/>
        </w:rPr>
        <w:t xml:space="preserve">Factual summary. Online public consultation on </w:t>
      </w:r>
      <w:r w:rsidRPr="004D1A07">
        <w:rPr>
          <w:rFonts w:ascii="Times New Roman" w:eastAsia="+mn-ea" w:hAnsi="Times New Roman" w:cs="Times New Roman"/>
          <w:i/>
          <w:color w:val="000000"/>
          <w:kern w:val="24"/>
          <w:sz w:val="16"/>
          <w:szCs w:val="16"/>
          <w:lang w:val="en-US" w:eastAsia="pl-PL"/>
        </w:rPr>
        <w:t>"</w:t>
      </w:r>
      <w:proofErr w:type="spellStart"/>
      <w:r w:rsidRPr="004D1A07">
        <w:rPr>
          <w:rFonts w:ascii="Times New Roman" w:eastAsia="+mn-ea" w:hAnsi="Times New Roman" w:cs="Times New Roman"/>
          <w:i/>
          <w:color w:val="000000"/>
          <w:kern w:val="24"/>
          <w:sz w:val="16"/>
          <w:szCs w:val="16"/>
          <w:lang w:val="en-US" w:eastAsia="pl-PL"/>
        </w:rPr>
        <w:t>Modernising</w:t>
      </w:r>
      <w:proofErr w:type="spellEnd"/>
      <w:r w:rsidRPr="004D1A07">
        <w:rPr>
          <w:rFonts w:ascii="Times New Roman" w:eastAsia="+mn-ea" w:hAnsi="Times New Roman" w:cs="Times New Roman"/>
          <w:i/>
          <w:color w:val="000000"/>
          <w:kern w:val="24"/>
          <w:sz w:val="16"/>
          <w:szCs w:val="16"/>
          <w:lang w:val="en-US" w:eastAsia="pl-PL"/>
        </w:rPr>
        <w:t xml:space="preserve"> and Simplifying the C</w:t>
      </w:r>
      <w:r>
        <w:rPr>
          <w:rFonts w:ascii="Times New Roman" w:eastAsia="+mn-ea" w:hAnsi="Times New Roman" w:cs="Times New Roman"/>
          <w:i/>
          <w:color w:val="000000"/>
          <w:kern w:val="24"/>
          <w:sz w:val="16"/>
          <w:szCs w:val="16"/>
          <w:lang w:val="en-US" w:eastAsia="pl-PL"/>
        </w:rPr>
        <w:t xml:space="preserve">ommon Agricultural Policy (CAP), </w:t>
      </w:r>
      <w:r w:rsidRPr="004D1A07">
        <w:rPr>
          <w:rFonts w:ascii="Times New Roman" w:eastAsia="+mn-ea" w:hAnsi="Times New Roman" w:cs="Times New Roman"/>
          <w:i/>
          <w:color w:val="000000"/>
          <w:kern w:val="24"/>
          <w:sz w:val="16"/>
          <w:szCs w:val="16"/>
          <w:lang w:val="en-US" w:eastAsia="pl-PL"/>
        </w:rPr>
        <w:t>2017,</w:t>
      </w:r>
      <w:r w:rsidRPr="004D1A07">
        <w:rPr>
          <w:rFonts w:ascii="Times New Roman" w:eastAsia="+mn-ea" w:hAnsi="Times New Roman" w:cs="Times New Roman"/>
          <w:color w:val="000000"/>
          <w:kern w:val="24"/>
          <w:sz w:val="16"/>
          <w:szCs w:val="16"/>
          <w:lang w:val="en-GB" w:eastAsia="pl-PL"/>
        </w:rPr>
        <w:t xml:space="preserve"> European Commission</w:t>
      </w:r>
      <w:r>
        <w:rPr>
          <w:rFonts w:ascii="Times New Roman" w:eastAsia="+mn-ea" w:hAnsi="Times New Roman" w:cs="Times New Roman"/>
          <w:color w:val="000000"/>
          <w:kern w:val="24"/>
          <w:sz w:val="16"/>
          <w:szCs w:val="16"/>
          <w:lang w:val="en-GB" w:eastAsia="pl-PL"/>
        </w:rPr>
        <w:t>, Brussels</w:t>
      </w:r>
      <w:r w:rsidRPr="004D1A07">
        <w:rPr>
          <w:rFonts w:ascii="Times New Roman" w:eastAsia="+mn-ea" w:hAnsi="Times New Roman" w:cs="Times New Roman"/>
          <w:color w:val="000000"/>
          <w:kern w:val="24"/>
          <w:sz w:val="16"/>
          <w:szCs w:val="16"/>
          <w:lang w:val="en-GB" w:eastAsia="pl-PL"/>
        </w:rPr>
        <w:t>.</w:t>
      </w:r>
    </w:p>
    <w:p w14:paraId="21F6A6EC" w14:textId="77777777" w:rsidR="00094329" w:rsidRPr="004D1A07" w:rsidRDefault="00094329" w:rsidP="00C87342">
      <w:pPr>
        <w:pStyle w:val="ListParagraph"/>
        <w:numPr>
          <w:ilvl w:val="0"/>
          <w:numId w:val="12"/>
        </w:numPr>
        <w:tabs>
          <w:tab w:val="left" w:pos="284"/>
        </w:tabs>
        <w:spacing w:after="0" w:line="240" w:lineRule="auto"/>
        <w:jc w:val="both"/>
        <w:rPr>
          <w:rFonts w:ascii="Times New Roman" w:eastAsia="Times New Roman" w:hAnsi="Times New Roman" w:cs="Times New Roman"/>
          <w:kern w:val="4"/>
          <w:sz w:val="16"/>
          <w:szCs w:val="16"/>
          <w:lang w:val="en-GB" w:eastAsia="de-DE"/>
        </w:rPr>
      </w:pPr>
      <w:proofErr w:type="spellStart"/>
      <w:proofErr w:type="gramStart"/>
      <w:r w:rsidRPr="004D1A07">
        <w:rPr>
          <w:rFonts w:ascii="Times New Roman" w:hAnsi="Times New Roman" w:cs="Times New Roman"/>
          <w:sz w:val="16"/>
          <w:szCs w:val="16"/>
          <w:lang w:val="en-US"/>
        </w:rPr>
        <w:t>Falkenberg</w:t>
      </w:r>
      <w:proofErr w:type="spellEnd"/>
      <w:r w:rsidRPr="004D1A07">
        <w:rPr>
          <w:rFonts w:ascii="Times New Roman" w:hAnsi="Times New Roman" w:cs="Times New Roman"/>
          <w:sz w:val="16"/>
          <w:szCs w:val="16"/>
          <w:lang w:val="en-US"/>
        </w:rPr>
        <w:t xml:space="preserve">  K.</w:t>
      </w:r>
      <w:proofErr w:type="gramEnd"/>
      <w:r w:rsidRPr="004D1A07">
        <w:rPr>
          <w:rFonts w:ascii="Times New Roman" w:hAnsi="Times New Roman" w:cs="Times New Roman"/>
          <w:sz w:val="16"/>
          <w:szCs w:val="16"/>
          <w:lang w:val="en-US"/>
        </w:rPr>
        <w:t xml:space="preserve"> 2016</w:t>
      </w:r>
      <w:r>
        <w:rPr>
          <w:rFonts w:ascii="Times New Roman" w:hAnsi="Times New Roman" w:cs="Times New Roman"/>
          <w:sz w:val="16"/>
          <w:szCs w:val="16"/>
          <w:lang w:val="en-US"/>
        </w:rPr>
        <w:t>:</w:t>
      </w:r>
      <w:r w:rsidRPr="004D1A07">
        <w:rPr>
          <w:rFonts w:ascii="Times New Roman" w:hAnsi="Times New Roman" w:cs="Times New Roman"/>
          <w:sz w:val="16"/>
          <w:szCs w:val="16"/>
          <w:lang w:val="en-US"/>
        </w:rPr>
        <w:t xml:space="preserve"> </w:t>
      </w:r>
      <w:r w:rsidRPr="004D1A07">
        <w:rPr>
          <w:rFonts w:ascii="Times New Roman" w:hAnsi="Times New Roman" w:cs="Times New Roman"/>
          <w:i/>
          <w:sz w:val="16"/>
          <w:szCs w:val="16"/>
          <w:lang w:val="en-US"/>
        </w:rPr>
        <w:t>Sustainability Now! A European Vision for Sustainability</w:t>
      </w:r>
      <w:r w:rsidRPr="004D1A07">
        <w:rPr>
          <w:rFonts w:ascii="Times New Roman" w:hAnsi="Times New Roman" w:cs="Times New Roman"/>
          <w:sz w:val="16"/>
          <w:szCs w:val="16"/>
          <w:lang w:val="en-US"/>
        </w:rPr>
        <w:t xml:space="preserve">, European Political </w:t>
      </w:r>
      <w:proofErr w:type="gramStart"/>
      <w:r w:rsidRPr="004D1A07">
        <w:rPr>
          <w:rFonts w:ascii="Times New Roman" w:hAnsi="Times New Roman" w:cs="Times New Roman"/>
          <w:sz w:val="16"/>
          <w:szCs w:val="16"/>
          <w:lang w:val="en-US"/>
        </w:rPr>
        <w:t>Strategy  Centre</w:t>
      </w:r>
      <w:proofErr w:type="gramEnd"/>
      <w:r w:rsidRPr="004D1A07">
        <w:rPr>
          <w:rFonts w:ascii="Times New Roman" w:hAnsi="Times New Roman" w:cs="Times New Roman"/>
          <w:sz w:val="16"/>
          <w:szCs w:val="16"/>
          <w:lang w:val="en-US"/>
        </w:rPr>
        <w:t>, Issue 18 , https://ec.europa.eu/epsc/sites/epsc/files/strategic_note_issue_18.pdf</w:t>
      </w:r>
    </w:p>
    <w:p w14:paraId="3C8C3DAD" w14:textId="77777777" w:rsidR="00094329" w:rsidRPr="004D1A07" w:rsidRDefault="00094329" w:rsidP="00C87342">
      <w:pPr>
        <w:pStyle w:val="ListParagraph"/>
        <w:numPr>
          <w:ilvl w:val="0"/>
          <w:numId w:val="12"/>
        </w:numPr>
        <w:tabs>
          <w:tab w:val="left" w:pos="284"/>
        </w:tabs>
        <w:spacing w:after="0" w:line="240" w:lineRule="auto"/>
        <w:jc w:val="both"/>
        <w:rPr>
          <w:rFonts w:ascii="Times New Roman" w:eastAsia="Times New Roman" w:hAnsi="Times New Roman" w:cs="Times New Roman"/>
          <w:kern w:val="4"/>
          <w:sz w:val="16"/>
          <w:szCs w:val="16"/>
          <w:lang w:val="en-GB" w:eastAsia="de-DE"/>
        </w:rPr>
      </w:pPr>
      <w:r w:rsidRPr="004D1A07">
        <w:rPr>
          <w:rFonts w:ascii="Times New Roman" w:hAnsi="Times New Roman" w:cs="Times New Roman"/>
          <w:sz w:val="16"/>
          <w:szCs w:val="16"/>
          <w:lang w:val="en-US"/>
        </w:rPr>
        <w:t xml:space="preserve">Fresco L. O., </w:t>
      </w:r>
      <w:proofErr w:type="spellStart"/>
      <w:r w:rsidRPr="004D1A07">
        <w:rPr>
          <w:rFonts w:ascii="Times New Roman" w:hAnsi="Times New Roman" w:cs="Times New Roman"/>
          <w:sz w:val="16"/>
          <w:szCs w:val="16"/>
          <w:lang w:val="en-US"/>
        </w:rPr>
        <w:t>Poppe</w:t>
      </w:r>
      <w:proofErr w:type="spellEnd"/>
      <w:r w:rsidRPr="004D1A07">
        <w:rPr>
          <w:rFonts w:ascii="Times New Roman" w:hAnsi="Times New Roman" w:cs="Times New Roman"/>
          <w:sz w:val="16"/>
          <w:szCs w:val="16"/>
          <w:lang w:val="en-US"/>
        </w:rPr>
        <w:t xml:space="preserve"> K. J., 2016</w:t>
      </w:r>
      <w:r>
        <w:rPr>
          <w:rFonts w:ascii="Times New Roman" w:hAnsi="Times New Roman" w:cs="Times New Roman"/>
          <w:sz w:val="16"/>
          <w:szCs w:val="16"/>
          <w:lang w:val="en-US"/>
        </w:rPr>
        <w:t>:</w:t>
      </w:r>
      <w:r w:rsidRPr="004D1A07">
        <w:rPr>
          <w:rFonts w:ascii="Times New Roman" w:hAnsi="Times New Roman" w:cs="Times New Roman"/>
          <w:sz w:val="16"/>
          <w:szCs w:val="16"/>
          <w:lang w:val="en-US"/>
        </w:rPr>
        <w:t xml:space="preserve"> </w:t>
      </w:r>
      <w:r w:rsidRPr="004D1A07">
        <w:rPr>
          <w:rFonts w:ascii="Times New Roman" w:hAnsi="Times New Roman" w:cs="Times New Roman"/>
          <w:i/>
          <w:sz w:val="16"/>
          <w:szCs w:val="16"/>
          <w:lang w:val="en-US"/>
        </w:rPr>
        <w:t>Towards a Common Agricultural and Food Policy</w:t>
      </w:r>
      <w:r w:rsidRPr="004D1A07">
        <w:rPr>
          <w:rFonts w:ascii="Times New Roman" w:hAnsi="Times New Roman" w:cs="Times New Roman"/>
          <w:sz w:val="16"/>
          <w:szCs w:val="16"/>
          <w:lang w:val="en-US"/>
        </w:rPr>
        <w:t xml:space="preserve">, </w:t>
      </w:r>
      <w:proofErr w:type="spellStart"/>
      <w:r w:rsidRPr="004D1A07">
        <w:rPr>
          <w:rFonts w:ascii="Times New Roman" w:hAnsi="Times New Roman" w:cs="Times New Roman"/>
          <w:sz w:val="16"/>
          <w:szCs w:val="16"/>
          <w:lang w:val="en-US"/>
        </w:rPr>
        <w:t>Wageningen</w:t>
      </w:r>
      <w:proofErr w:type="spellEnd"/>
      <w:r w:rsidRPr="004D1A07">
        <w:rPr>
          <w:rFonts w:ascii="Times New Roman" w:hAnsi="Times New Roman" w:cs="Times New Roman"/>
          <w:sz w:val="16"/>
          <w:szCs w:val="16"/>
          <w:lang w:val="en-US"/>
        </w:rPr>
        <w:t xml:space="preserve">, </w:t>
      </w:r>
    </w:p>
    <w:p w14:paraId="4EE8AE91" w14:textId="77777777" w:rsidR="00094329" w:rsidRPr="004D1A07" w:rsidRDefault="00094329" w:rsidP="00C87342">
      <w:pPr>
        <w:pStyle w:val="ListParagraph"/>
        <w:numPr>
          <w:ilvl w:val="0"/>
          <w:numId w:val="12"/>
        </w:numPr>
        <w:tabs>
          <w:tab w:val="left" w:pos="284"/>
        </w:tabs>
        <w:spacing w:after="0" w:line="240" w:lineRule="auto"/>
        <w:jc w:val="both"/>
        <w:rPr>
          <w:rFonts w:ascii="Times New Roman" w:hAnsi="Times New Roman" w:cs="Times New Roman"/>
          <w:sz w:val="16"/>
          <w:szCs w:val="16"/>
        </w:rPr>
      </w:pPr>
      <w:r w:rsidRPr="004D1A07">
        <w:rPr>
          <w:rFonts w:ascii="Times New Roman" w:hAnsi="Times New Roman" w:cs="Times New Roman"/>
          <w:sz w:val="16"/>
          <w:szCs w:val="16"/>
        </w:rPr>
        <w:t xml:space="preserve">Józwiak W., </w:t>
      </w:r>
      <w:r>
        <w:rPr>
          <w:rFonts w:ascii="Times New Roman" w:hAnsi="Times New Roman" w:cs="Times New Roman"/>
          <w:sz w:val="16"/>
          <w:szCs w:val="16"/>
        </w:rPr>
        <w:t xml:space="preserve">2017: </w:t>
      </w:r>
      <w:r w:rsidRPr="004D1A07">
        <w:rPr>
          <w:rFonts w:ascii="Times New Roman" w:hAnsi="Times New Roman" w:cs="Times New Roman"/>
          <w:sz w:val="16"/>
          <w:szCs w:val="16"/>
        </w:rPr>
        <w:t>Wspólna unijna polityka rolna po 2020 roku –kontynuacja obecnej praktyki czy zerwanie z nią, Zagadnienia Ekonomiki Rolnej, nr 3 (352) 2017</w:t>
      </w:r>
    </w:p>
    <w:p w14:paraId="29502A4C" w14:textId="77777777" w:rsidR="00094329" w:rsidRPr="004D1A07" w:rsidRDefault="00094329" w:rsidP="00C87342">
      <w:pPr>
        <w:pStyle w:val="ListParagraph"/>
        <w:numPr>
          <w:ilvl w:val="0"/>
          <w:numId w:val="12"/>
        </w:numPr>
        <w:tabs>
          <w:tab w:val="left" w:pos="284"/>
        </w:tabs>
        <w:spacing w:after="0" w:line="240" w:lineRule="auto"/>
        <w:jc w:val="both"/>
        <w:rPr>
          <w:rFonts w:ascii="Times New Roman" w:hAnsi="Times New Roman" w:cs="Times New Roman"/>
          <w:sz w:val="16"/>
          <w:szCs w:val="16"/>
        </w:rPr>
      </w:pPr>
      <w:r w:rsidRPr="004D1A07">
        <w:rPr>
          <w:rFonts w:ascii="Times New Roman" w:hAnsi="Times New Roman" w:cs="Times New Roman"/>
          <w:sz w:val="16"/>
          <w:szCs w:val="16"/>
        </w:rPr>
        <w:t xml:space="preserve">Notatka informacyjna. Sytuacja rozporządzenia OMNIBUS i przyszłej WPR, COPA–COGECA, </w:t>
      </w:r>
      <w:r w:rsidRPr="004D1A07">
        <w:rPr>
          <w:rFonts w:ascii="Times New Roman" w:hAnsi="Times New Roman" w:cs="Times New Roman"/>
          <w:sz w:val="16"/>
          <w:szCs w:val="16"/>
        </w:rPr>
        <w:fldChar w:fldCharType="begin"/>
      </w:r>
      <w:r w:rsidRPr="004D1A07">
        <w:rPr>
          <w:rFonts w:ascii="Times New Roman" w:hAnsi="Times New Roman" w:cs="Times New Roman"/>
          <w:sz w:val="16"/>
          <w:szCs w:val="16"/>
        </w:rPr>
        <w:instrText xml:space="preserve"> DOCPROPERTY  PWThreadMemo  \* MERGEFORMAT </w:instrText>
      </w:r>
      <w:r w:rsidRPr="004D1A07">
        <w:rPr>
          <w:rFonts w:ascii="Times New Roman" w:hAnsi="Times New Roman" w:cs="Times New Roman"/>
          <w:sz w:val="16"/>
          <w:szCs w:val="16"/>
        </w:rPr>
        <w:fldChar w:fldCharType="separate"/>
      </w:r>
      <w:r w:rsidRPr="004D1A07">
        <w:rPr>
          <w:rFonts w:ascii="Times New Roman" w:hAnsi="Times New Roman" w:cs="Times New Roman"/>
          <w:sz w:val="16"/>
          <w:szCs w:val="16"/>
        </w:rPr>
        <w:t>PAC(17)4530:2</w:t>
      </w:r>
      <w:r w:rsidRPr="004D1A07">
        <w:rPr>
          <w:rFonts w:ascii="Times New Roman" w:hAnsi="Times New Roman" w:cs="Times New Roman"/>
          <w:sz w:val="16"/>
          <w:szCs w:val="16"/>
        </w:rPr>
        <w:fldChar w:fldCharType="end"/>
      </w:r>
      <w:r w:rsidRPr="004D1A07">
        <w:rPr>
          <w:rFonts w:ascii="Times New Roman" w:hAnsi="Times New Roman" w:cs="Times New Roman"/>
          <w:sz w:val="16"/>
          <w:szCs w:val="16"/>
        </w:rPr>
        <w:t>-PG/sd, Bruksela, 12 czerwca 2017 roku.</w:t>
      </w:r>
    </w:p>
    <w:p w14:paraId="7E974B58" w14:textId="77777777" w:rsidR="00094329" w:rsidRPr="004D1A07" w:rsidRDefault="00094329" w:rsidP="00C87342">
      <w:pPr>
        <w:pStyle w:val="ListParagraph"/>
        <w:numPr>
          <w:ilvl w:val="0"/>
          <w:numId w:val="12"/>
        </w:numPr>
        <w:tabs>
          <w:tab w:val="left" w:pos="284"/>
        </w:tabs>
        <w:spacing w:after="0" w:line="240" w:lineRule="auto"/>
        <w:jc w:val="both"/>
        <w:rPr>
          <w:rFonts w:ascii="Times New Roman" w:hAnsi="Times New Roman" w:cs="Times New Roman"/>
          <w:sz w:val="16"/>
          <w:szCs w:val="16"/>
          <w:lang w:val="en-GB"/>
        </w:rPr>
      </w:pPr>
      <w:r w:rsidRPr="004D1A07">
        <w:rPr>
          <w:rFonts w:ascii="Times New Roman" w:hAnsi="Times New Roman" w:cs="Times New Roman"/>
          <w:bCs/>
          <w:sz w:val="16"/>
          <w:szCs w:val="16"/>
          <w:lang w:val="en-GB"/>
        </w:rPr>
        <w:t xml:space="preserve">Public consultation </w:t>
      </w:r>
      <w:r w:rsidRPr="004D1A07">
        <w:rPr>
          <w:rFonts w:ascii="Times New Roman" w:hAnsi="Times New Roman" w:cs="Times New Roman"/>
          <w:bCs/>
          <w:i/>
          <w:sz w:val="16"/>
          <w:szCs w:val="16"/>
          <w:lang w:val="en-GB"/>
        </w:rPr>
        <w:t>"Modernising and Simplifying the Common Agricultural Policy</w:t>
      </w:r>
      <w:r w:rsidRPr="004D1A07">
        <w:rPr>
          <w:rFonts w:ascii="Times New Roman" w:hAnsi="Times New Roman" w:cs="Times New Roman"/>
          <w:bCs/>
          <w:sz w:val="16"/>
          <w:szCs w:val="16"/>
          <w:lang w:val="en-GB"/>
        </w:rPr>
        <w:t>"</w:t>
      </w:r>
      <w:r w:rsidRPr="004D1A07">
        <w:rPr>
          <w:rFonts w:ascii="Times New Roman" w:hAnsi="Times New Roman" w:cs="Times New Roman"/>
          <w:b/>
          <w:bCs/>
          <w:sz w:val="16"/>
          <w:szCs w:val="16"/>
          <w:lang w:val="en-GB"/>
        </w:rPr>
        <w:t xml:space="preserve"> </w:t>
      </w:r>
      <w:hyperlink r:id="rId10" w:history="1">
        <w:r w:rsidRPr="004D1A07">
          <w:rPr>
            <w:rStyle w:val="Hyperlink"/>
            <w:rFonts w:ascii="Times New Roman" w:hAnsi="Times New Roman" w:cs="Times New Roman"/>
            <w:sz w:val="16"/>
            <w:szCs w:val="16"/>
            <w:lang w:val="en-GB"/>
          </w:rPr>
          <w:t>https://ec.europa.eu/agriculture/sites/agriculture/files/consultations/cap-modernising/highlights-public-consul_en.pdf</w:t>
        </w:r>
      </w:hyperlink>
    </w:p>
    <w:p w14:paraId="64C866BE" w14:textId="77777777" w:rsidR="00094329" w:rsidRPr="004D1A07" w:rsidRDefault="00094329" w:rsidP="00C87342">
      <w:pPr>
        <w:pStyle w:val="ListParagraph"/>
        <w:numPr>
          <w:ilvl w:val="0"/>
          <w:numId w:val="12"/>
        </w:numPr>
        <w:tabs>
          <w:tab w:val="left" w:pos="284"/>
        </w:tabs>
        <w:spacing w:after="0" w:line="240" w:lineRule="auto"/>
        <w:jc w:val="both"/>
        <w:rPr>
          <w:rFonts w:ascii="Times New Roman" w:eastAsia="MyriadPro-Light" w:hAnsi="Times New Roman" w:cs="Times New Roman"/>
          <w:sz w:val="16"/>
          <w:szCs w:val="16"/>
          <w:lang w:val="en-GB"/>
        </w:rPr>
      </w:pPr>
      <w:r w:rsidRPr="004D1A07">
        <w:rPr>
          <w:rFonts w:ascii="Times New Roman" w:hAnsi="Times New Roman" w:cs="Times New Roman"/>
          <w:bCs/>
          <w:i/>
          <w:sz w:val="16"/>
          <w:szCs w:val="16"/>
          <w:lang w:val="en-GB"/>
        </w:rPr>
        <w:t>CAP implementation _ Flexibility given to Members States – state of play and perspectives</w:t>
      </w:r>
      <w:r w:rsidRPr="004D1A07">
        <w:rPr>
          <w:rFonts w:ascii="Times New Roman" w:hAnsi="Times New Roman" w:cs="Times New Roman"/>
          <w:bCs/>
          <w:sz w:val="16"/>
          <w:szCs w:val="16"/>
          <w:lang w:val="en-GB"/>
        </w:rPr>
        <w:t xml:space="preserve">, </w:t>
      </w:r>
      <w:r>
        <w:rPr>
          <w:rFonts w:ascii="Times New Roman" w:hAnsi="Times New Roman" w:cs="Times New Roman"/>
          <w:bCs/>
          <w:sz w:val="16"/>
          <w:szCs w:val="16"/>
          <w:lang w:val="en-GB"/>
        </w:rPr>
        <w:t xml:space="preserve">2017: </w:t>
      </w:r>
      <w:r w:rsidRPr="004D1A07">
        <w:rPr>
          <w:rFonts w:ascii="Times New Roman" w:hAnsi="Times New Roman" w:cs="Times New Roman"/>
          <w:bCs/>
          <w:sz w:val="16"/>
          <w:szCs w:val="16"/>
          <w:lang w:val="en-GB"/>
        </w:rPr>
        <w:t>Research for AGRI Committee, European Parliament, Brussels 2017</w:t>
      </w:r>
    </w:p>
    <w:p w14:paraId="4F3B73D2" w14:textId="77777777" w:rsidR="00094329" w:rsidRPr="004D1A07" w:rsidRDefault="00094329" w:rsidP="00C87342">
      <w:pPr>
        <w:pStyle w:val="ListParagraph"/>
        <w:numPr>
          <w:ilvl w:val="0"/>
          <w:numId w:val="12"/>
        </w:numPr>
        <w:tabs>
          <w:tab w:val="left" w:pos="284"/>
        </w:tabs>
        <w:spacing w:after="0" w:line="240" w:lineRule="auto"/>
        <w:jc w:val="both"/>
        <w:rPr>
          <w:rFonts w:ascii="Times New Roman" w:eastAsia="MyriadPro-Light" w:hAnsi="Times New Roman" w:cs="Times New Roman"/>
          <w:sz w:val="16"/>
          <w:szCs w:val="16"/>
          <w:lang w:val="en-GB"/>
        </w:rPr>
      </w:pPr>
      <w:r w:rsidRPr="004D1A07">
        <w:rPr>
          <w:rFonts w:ascii="Times New Roman" w:hAnsi="Times New Roman" w:cs="Times New Roman"/>
          <w:i/>
          <w:sz w:val="16"/>
          <w:szCs w:val="16"/>
          <w:lang w:val="en-US"/>
        </w:rPr>
        <w:t>CAP Reform Post 2020 – Challenges for Agriculture</w:t>
      </w:r>
      <w:r w:rsidRPr="004D1A07">
        <w:rPr>
          <w:rFonts w:ascii="Times New Roman" w:hAnsi="Times New Roman" w:cs="Times New Roman"/>
          <w:sz w:val="16"/>
          <w:szCs w:val="16"/>
          <w:lang w:val="en-US"/>
        </w:rPr>
        <w:t xml:space="preserve">: AGRICOM conference XI/2016. </w:t>
      </w:r>
      <w:r w:rsidRPr="004D1A07">
        <w:rPr>
          <w:rFonts w:ascii="Times New Roman" w:hAnsi="Times New Roman" w:cs="Times New Roman"/>
          <w:bCs/>
          <w:sz w:val="16"/>
          <w:szCs w:val="16"/>
          <w:lang w:val="en-US" w:eastAsia="pl-PL"/>
        </w:rPr>
        <w:t xml:space="preserve">The Future of Direct </w:t>
      </w:r>
      <w:proofErr w:type="gramStart"/>
      <w:r w:rsidRPr="004D1A07">
        <w:rPr>
          <w:rFonts w:ascii="Times New Roman" w:hAnsi="Times New Roman" w:cs="Times New Roman"/>
          <w:bCs/>
          <w:sz w:val="16"/>
          <w:szCs w:val="16"/>
          <w:lang w:val="en-US" w:eastAsia="pl-PL"/>
        </w:rPr>
        <w:t>Payments,  Alan</w:t>
      </w:r>
      <w:proofErr w:type="gramEnd"/>
      <w:r w:rsidRPr="004D1A07">
        <w:rPr>
          <w:rFonts w:ascii="Times New Roman" w:hAnsi="Times New Roman" w:cs="Times New Roman"/>
          <w:bCs/>
          <w:sz w:val="16"/>
          <w:szCs w:val="16"/>
          <w:lang w:val="en-US" w:eastAsia="pl-PL"/>
        </w:rPr>
        <w:t xml:space="preserve"> Matthews. The Future of Market Measures and Risk Management Schemes, Louis-Pascal </w:t>
      </w:r>
      <w:proofErr w:type="spellStart"/>
      <w:r w:rsidRPr="004D1A07">
        <w:rPr>
          <w:rFonts w:ascii="Times New Roman" w:hAnsi="Times New Roman" w:cs="Times New Roman"/>
          <w:bCs/>
          <w:sz w:val="16"/>
          <w:szCs w:val="16"/>
          <w:lang w:val="en-US" w:eastAsia="pl-PL"/>
        </w:rPr>
        <w:t>Mahé</w:t>
      </w:r>
      <w:proofErr w:type="spellEnd"/>
      <w:r w:rsidRPr="004D1A07">
        <w:rPr>
          <w:rFonts w:ascii="Times New Roman" w:hAnsi="Times New Roman" w:cs="Times New Roman"/>
          <w:bCs/>
          <w:sz w:val="16"/>
          <w:szCs w:val="16"/>
          <w:lang w:val="en-US" w:eastAsia="pl-PL"/>
        </w:rPr>
        <w:t>.</w:t>
      </w:r>
      <w:r w:rsidRPr="004D1A07">
        <w:rPr>
          <w:rFonts w:ascii="Times New Roman" w:hAnsi="Times New Roman" w:cs="Times New Roman"/>
          <w:bCs/>
          <w:sz w:val="16"/>
          <w:szCs w:val="16"/>
          <w:lang w:val="en-US"/>
        </w:rPr>
        <w:t xml:space="preserve"> </w:t>
      </w:r>
      <w:r w:rsidRPr="004D1A07">
        <w:rPr>
          <w:rFonts w:ascii="Times New Roman" w:hAnsi="Times New Roman" w:cs="Times New Roman"/>
          <w:bCs/>
          <w:sz w:val="16"/>
          <w:szCs w:val="16"/>
          <w:lang w:val="en-US" w:eastAsia="pl-PL"/>
        </w:rPr>
        <w:t xml:space="preserve">The future of rural development policy. Realize the full potential of rural areas, Thomas </w:t>
      </w:r>
      <w:proofErr w:type="spellStart"/>
      <w:r w:rsidRPr="004D1A07">
        <w:rPr>
          <w:rFonts w:ascii="Times New Roman" w:hAnsi="Times New Roman" w:cs="Times New Roman"/>
          <w:bCs/>
          <w:sz w:val="16"/>
          <w:szCs w:val="16"/>
          <w:lang w:val="en-US" w:eastAsia="pl-PL"/>
        </w:rPr>
        <w:t>Dax</w:t>
      </w:r>
      <w:proofErr w:type="spellEnd"/>
      <w:r w:rsidRPr="004D1A07">
        <w:rPr>
          <w:rFonts w:ascii="Times New Roman" w:hAnsi="Times New Roman" w:cs="Times New Roman"/>
          <w:bCs/>
          <w:sz w:val="16"/>
          <w:szCs w:val="16"/>
          <w:lang w:val="en-US" w:eastAsia="pl-PL"/>
        </w:rPr>
        <w:t xml:space="preserve">, </w:t>
      </w:r>
      <w:r w:rsidRPr="004D1A07">
        <w:rPr>
          <w:rFonts w:ascii="Times New Roman" w:hAnsi="Times New Roman" w:cs="Times New Roman"/>
          <w:sz w:val="16"/>
          <w:szCs w:val="16"/>
          <w:lang w:val="en-US"/>
        </w:rPr>
        <w:t xml:space="preserve">Research for </w:t>
      </w:r>
      <w:proofErr w:type="spellStart"/>
      <w:r w:rsidRPr="004D1A07">
        <w:rPr>
          <w:rFonts w:ascii="Times New Roman" w:hAnsi="Times New Roman" w:cs="Times New Roman"/>
          <w:sz w:val="16"/>
          <w:szCs w:val="16"/>
          <w:lang w:val="en-US"/>
        </w:rPr>
        <w:t>Agri</w:t>
      </w:r>
      <w:proofErr w:type="spellEnd"/>
      <w:r w:rsidRPr="004D1A07">
        <w:rPr>
          <w:rFonts w:ascii="Times New Roman" w:hAnsi="Times New Roman" w:cs="Times New Roman"/>
          <w:sz w:val="16"/>
          <w:szCs w:val="16"/>
          <w:lang w:val="en-US"/>
        </w:rPr>
        <w:t xml:space="preserve"> Committee, </w:t>
      </w:r>
      <w:r w:rsidRPr="004D1A07">
        <w:rPr>
          <w:rFonts w:ascii="Times New Roman" w:hAnsi="Times New Roman" w:cs="Times New Roman"/>
          <w:bCs/>
          <w:sz w:val="16"/>
          <w:szCs w:val="16"/>
          <w:lang w:val="en-GB"/>
        </w:rPr>
        <w:t>European Parliament, Brussels 2017</w:t>
      </w:r>
    </w:p>
    <w:p w14:paraId="36D71AA1" w14:textId="77777777" w:rsidR="00094329" w:rsidRPr="004D1A07" w:rsidRDefault="00094329" w:rsidP="00C87342">
      <w:pPr>
        <w:pStyle w:val="FootnoteText"/>
        <w:numPr>
          <w:ilvl w:val="0"/>
          <w:numId w:val="12"/>
        </w:numPr>
        <w:tabs>
          <w:tab w:val="left" w:pos="284"/>
        </w:tabs>
        <w:jc w:val="both"/>
        <w:rPr>
          <w:rFonts w:ascii="Times New Roman" w:hAnsi="Times New Roman" w:cs="Times New Roman"/>
          <w:sz w:val="16"/>
          <w:szCs w:val="16"/>
          <w:lang w:val="en-GB"/>
        </w:rPr>
      </w:pPr>
      <w:proofErr w:type="spellStart"/>
      <w:r w:rsidRPr="004D1A07">
        <w:rPr>
          <w:rFonts w:ascii="Times New Roman" w:hAnsi="Times New Roman" w:cs="Times New Roman"/>
          <w:sz w:val="16"/>
          <w:szCs w:val="16"/>
          <w:lang w:val="en-GB"/>
        </w:rPr>
        <w:t>Tangermann</w:t>
      </w:r>
      <w:proofErr w:type="spellEnd"/>
      <w:r w:rsidRPr="004D1A07">
        <w:rPr>
          <w:rFonts w:ascii="Times New Roman" w:hAnsi="Times New Roman" w:cs="Times New Roman"/>
          <w:sz w:val="16"/>
          <w:szCs w:val="16"/>
          <w:lang w:val="en-GB"/>
        </w:rPr>
        <w:t xml:space="preserve"> S., </w:t>
      </w:r>
      <w:r>
        <w:rPr>
          <w:rFonts w:ascii="Times New Roman" w:hAnsi="Times New Roman" w:cs="Times New Roman"/>
          <w:sz w:val="16"/>
          <w:szCs w:val="16"/>
          <w:lang w:val="en-GB"/>
        </w:rPr>
        <w:t xml:space="preserve">2011: </w:t>
      </w:r>
      <w:r w:rsidRPr="004D1A07">
        <w:rPr>
          <w:rFonts w:ascii="Times New Roman" w:hAnsi="Times New Roman" w:cs="Times New Roman"/>
          <w:i/>
          <w:sz w:val="16"/>
          <w:szCs w:val="16"/>
          <w:lang w:val="en-GB"/>
        </w:rPr>
        <w:t>Direct payments in the CAP post 2013</w:t>
      </w:r>
      <w:r>
        <w:rPr>
          <w:rFonts w:ascii="Times New Roman" w:hAnsi="Times New Roman" w:cs="Times New Roman"/>
          <w:sz w:val="16"/>
          <w:szCs w:val="16"/>
          <w:lang w:val="en-GB"/>
        </w:rPr>
        <w:t>, European Parliament, Brussels</w:t>
      </w:r>
      <w:r w:rsidRPr="004D1A07">
        <w:rPr>
          <w:rFonts w:ascii="Times New Roman" w:hAnsi="Times New Roman" w:cs="Times New Roman"/>
          <w:sz w:val="16"/>
          <w:szCs w:val="16"/>
          <w:lang w:val="en-GB"/>
        </w:rPr>
        <w:t>.</w:t>
      </w:r>
    </w:p>
    <w:p w14:paraId="75255612" w14:textId="77777777" w:rsidR="00094329" w:rsidRPr="004D1A07" w:rsidRDefault="00094329" w:rsidP="00C87342">
      <w:pPr>
        <w:pStyle w:val="ListParagraph"/>
        <w:numPr>
          <w:ilvl w:val="0"/>
          <w:numId w:val="12"/>
        </w:numPr>
        <w:tabs>
          <w:tab w:val="left" w:pos="284"/>
        </w:tabs>
        <w:spacing w:after="0" w:line="240" w:lineRule="auto"/>
        <w:jc w:val="both"/>
        <w:rPr>
          <w:rFonts w:ascii="Times New Roman" w:eastAsia="MyriadPro-Light" w:hAnsi="Times New Roman" w:cs="Times New Roman"/>
          <w:sz w:val="16"/>
          <w:szCs w:val="16"/>
          <w:lang w:val="en-GB"/>
        </w:rPr>
      </w:pPr>
      <w:proofErr w:type="spellStart"/>
      <w:r w:rsidRPr="004D1A07">
        <w:rPr>
          <w:rFonts w:ascii="Times New Roman" w:hAnsi="Times New Roman" w:cs="Times New Roman"/>
          <w:sz w:val="16"/>
          <w:szCs w:val="16"/>
          <w:lang w:val="en-GB"/>
        </w:rPr>
        <w:t>Tangermann</w:t>
      </w:r>
      <w:proofErr w:type="spellEnd"/>
      <w:r w:rsidRPr="004D1A07">
        <w:rPr>
          <w:rFonts w:ascii="Times New Roman" w:hAnsi="Times New Roman" w:cs="Times New Roman"/>
          <w:sz w:val="16"/>
          <w:szCs w:val="16"/>
          <w:lang w:val="en-GB"/>
        </w:rPr>
        <w:t xml:space="preserve"> S., </w:t>
      </w:r>
      <w:r>
        <w:rPr>
          <w:rFonts w:ascii="Times New Roman" w:hAnsi="Times New Roman" w:cs="Times New Roman"/>
          <w:sz w:val="16"/>
          <w:szCs w:val="16"/>
          <w:lang w:val="en-GB"/>
        </w:rPr>
        <w:t xml:space="preserve">2014: </w:t>
      </w:r>
      <w:r w:rsidRPr="004D1A07">
        <w:rPr>
          <w:rFonts w:ascii="Times New Roman" w:hAnsi="Times New Roman" w:cs="Times New Roman"/>
          <w:bCs/>
          <w:i/>
          <w:sz w:val="16"/>
          <w:szCs w:val="16"/>
          <w:lang w:val="en-GB"/>
        </w:rPr>
        <w:t>The World Has Changed: Do We Need New Policy Analysis</w:t>
      </w:r>
      <w:r w:rsidRPr="004D1A07">
        <w:rPr>
          <w:rFonts w:ascii="Times New Roman" w:hAnsi="Times New Roman" w:cs="Times New Roman"/>
          <w:bCs/>
          <w:sz w:val="16"/>
          <w:szCs w:val="16"/>
          <w:lang w:val="en-GB"/>
        </w:rPr>
        <w:t>? OECD Global Forum on Agriculture, Paris, 2 December 2014</w:t>
      </w:r>
    </w:p>
    <w:p w14:paraId="3463EA99" w14:textId="77777777" w:rsidR="00094329" w:rsidRPr="004D1A07" w:rsidRDefault="00094329" w:rsidP="00C87342">
      <w:pPr>
        <w:pStyle w:val="FootnoteText"/>
        <w:numPr>
          <w:ilvl w:val="0"/>
          <w:numId w:val="12"/>
        </w:numPr>
        <w:tabs>
          <w:tab w:val="left" w:pos="284"/>
        </w:tabs>
        <w:jc w:val="both"/>
        <w:rPr>
          <w:rFonts w:ascii="Times New Roman" w:hAnsi="Times New Roman" w:cs="Times New Roman"/>
          <w:i/>
          <w:sz w:val="16"/>
          <w:szCs w:val="16"/>
        </w:rPr>
      </w:pPr>
      <w:r w:rsidRPr="004D1A07">
        <w:rPr>
          <w:rFonts w:ascii="Times New Roman" w:hAnsi="Times New Roman" w:cs="Times New Roman"/>
          <w:i/>
          <w:sz w:val="16"/>
          <w:szCs w:val="16"/>
          <w:lang w:val="en-GB"/>
        </w:rPr>
        <w:t xml:space="preserve">The CAP towards 2020: Meeting the food, natural </w:t>
      </w:r>
      <w:proofErr w:type="gramStart"/>
      <w:r w:rsidRPr="004D1A07">
        <w:rPr>
          <w:rFonts w:ascii="Times New Roman" w:hAnsi="Times New Roman" w:cs="Times New Roman"/>
          <w:i/>
          <w:sz w:val="16"/>
          <w:szCs w:val="16"/>
          <w:lang w:val="en-GB"/>
        </w:rPr>
        <w:t>resources  and</w:t>
      </w:r>
      <w:proofErr w:type="gramEnd"/>
      <w:r w:rsidRPr="004D1A07">
        <w:rPr>
          <w:rFonts w:ascii="Times New Roman" w:hAnsi="Times New Roman" w:cs="Times New Roman"/>
          <w:i/>
          <w:sz w:val="16"/>
          <w:szCs w:val="16"/>
          <w:lang w:val="en-GB"/>
        </w:rPr>
        <w:t xml:space="preserve"> territorial challenges for the future.</w:t>
      </w:r>
      <w:r w:rsidRPr="004D1A07">
        <w:rPr>
          <w:rFonts w:ascii="Times New Roman" w:hAnsi="Times New Roman" w:cs="Times New Roman"/>
          <w:sz w:val="16"/>
          <w:szCs w:val="16"/>
          <w:lang w:val="en-GB"/>
        </w:rPr>
        <w:t xml:space="preserve"> </w:t>
      </w:r>
      <w:hyperlink r:id="rId11" w:history="1">
        <w:r w:rsidRPr="004D1A07">
          <w:rPr>
            <w:rStyle w:val="Hyperlink"/>
            <w:rFonts w:ascii="Times New Roman" w:hAnsi="Times New Roman" w:cs="Times New Roman"/>
            <w:i/>
            <w:sz w:val="16"/>
            <w:szCs w:val="16"/>
          </w:rPr>
          <w:t>http://www.europarl.europa.eu/sides/getDoc.do?pubRef=-//EP//TEXT+REPORT+A7-2011-0202+0+DOC+XML+V0//EN</w:t>
        </w:r>
      </w:hyperlink>
    </w:p>
    <w:p w14:paraId="782BC55F" w14:textId="77777777" w:rsidR="00094329" w:rsidRPr="004D1A07" w:rsidRDefault="00094329" w:rsidP="00C87342">
      <w:pPr>
        <w:pStyle w:val="ListParagraph"/>
        <w:numPr>
          <w:ilvl w:val="0"/>
          <w:numId w:val="12"/>
        </w:numPr>
        <w:tabs>
          <w:tab w:val="left" w:pos="284"/>
        </w:tabs>
        <w:spacing w:after="0" w:line="240" w:lineRule="auto"/>
        <w:jc w:val="both"/>
        <w:rPr>
          <w:rFonts w:ascii="Times New Roman" w:eastAsia="MyriadPro-Light" w:hAnsi="Times New Roman" w:cs="Times New Roman"/>
          <w:color w:val="000000"/>
          <w:sz w:val="16"/>
          <w:szCs w:val="16"/>
          <w:lang w:val="en-GB"/>
        </w:rPr>
      </w:pPr>
      <w:r w:rsidRPr="004D1A07">
        <w:rPr>
          <w:rFonts w:ascii="Times New Roman" w:eastAsia="MyriadPro-Light" w:hAnsi="Times New Roman" w:cs="Times New Roman"/>
          <w:color w:val="000000"/>
          <w:sz w:val="16"/>
          <w:szCs w:val="16"/>
          <w:lang w:val="en-GB"/>
        </w:rPr>
        <w:t>Matthews</w:t>
      </w:r>
      <w:r>
        <w:rPr>
          <w:rFonts w:ascii="Times New Roman" w:eastAsia="MyriadPro-Light" w:hAnsi="Times New Roman" w:cs="Times New Roman"/>
          <w:color w:val="000000"/>
          <w:sz w:val="16"/>
          <w:szCs w:val="16"/>
          <w:lang w:val="en-GB"/>
        </w:rPr>
        <w:t xml:space="preserve"> A., 2016:</w:t>
      </w:r>
      <w:r w:rsidRPr="004D1A07">
        <w:rPr>
          <w:rFonts w:ascii="Times New Roman" w:eastAsia="MyriadPro-Light" w:hAnsi="Times New Roman" w:cs="Times New Roman"/>
          <w:color w:val="000000"/>
          <w:sz w:val="16"/>
          <w:szCs w:val="16"/>
          <w:lang w:val="en-GB"/>
        </w:rPr>
        <w:t xml:space="preserve"> </w:t>
      </w:r>
      <w:r w:rsidRPr="004D1A07">
        <w:rPr>
          <w:rFonts w:ascii="Times New Roman" w:eastAsia="MyriadPro-Light" w:hAnsi="Times New Roman" w:cs="Times New Roman"/>
          <w:i/>
          <w:color w:val="000000"/>
          <w:sz w:val="16"/>
          <w:szCs w:val="16"/>
          <w:lang w:val="en-GB"/>
        </w:rPr>
        <w:t>The future of direct payments</w:t>
      </w:r>
      <w:r w:rsidRPr="004D1A07">
        <w:rPr>
          <w:rFonts w:ascii="Times New Roman" w:eastAsia="MyriadPro-Light" w:hAnsi="Times New Roman" w:cs="Times New Roman"/>
          <w:color w:val="000000"/>
          <w:sz w:val="16"/>
          <w:szCs w:val="16"/>
          <w:lang w:val="en-GB"/>
        </w:rPr>
        <w:t>, Committee of Agriculture and Rural Development of the European Parliament</w:t>
      </w:r>
    </w:p>
    <w:p w14:paraId="423FCCE4" w14:textId="3E15A5CD" w:rsidR="00094329" w:rsidRPr="004D1A07" w:rsidRDefault="00094329" w:rsidP="00C87342">
      <w:pPr>
        <w:pStyle w:val="ListParagraph"/>
        <w:numPr>
          <w:ilvl w:val="0"/>
          <w:numId w:val="12"/>
        </w:numPr>
        <w:tabs>
          <w:tab w:val="left" w:pos="284"/>
        </w:tabs>
        <w:spacing w:after="0" w:line="240" w:lineRule="auto"/>
        <w:jc w:val="both"/>
        <w:rPr>
          <w:rFonts w:ascii="Times New Roman" w:eastAsia="MyriadPro-Light" w:hAnsi="Times New Roman" w:cs="Times New Roman"/>
          <w:sz w:val="16"/>
          <w:szCs w:val="16"/>
          <w:lang w:val="en-GB"/>
        </w:rPr>
      </w:pPr>
      <w:proofErr w:type="spellStart"/>
      <w:r w:rsidRPr="004D1A07">
        <w:rPr>
          <w:rFonts w:ascii="Times New Roman" w:hAnsi="Times New Roman" w:cs="Times New Roman"/>
          <w:bCs/>
          <w:sz w:val="16"/>
          <w:szCs w:val="16"/>
          <w:lang w:val="en-GB"/>
        </w:rPr>
        <w:t>Swinnen</w:t>
      </w:r>
      <w:proofErr w:type="spellEnd"/>
      <w:r w:rsidRPr="004D1A07">
        <w:rPr>
          <w:rFonts w:ascii="Times New Roman" w:hAnsi="Times New Roman" w:cs="Times New Roman"/>
          <w:bCs/>
          <w:sz w:val="16"/>
          <w:szCs w:val="16"/>
          <w:lang w:val="en-GB"/>
        </w:rPr>
        <w:t xml:space="preserve"> J. (</w:t>
      </w:r>
      <w:r>
        <w:rPr>
          <w:rFonts w:ascii="Times New Roman" w:hAnsi="Times New Roman" w:cs="Times New Roman"/>
          <w:bCs/>
          <w:sz w:val="16"/>
          <w:szCs w:val="16"/>
          <w:lang w:val="en-GB"/>
        </w:rPr>
        <w:t>r</w:t>
      </w:r>
      <w:r w:rsidRPr="004D1A07">
        <w:rPr>
          <w:rFonts w:ascii="Times New Roman" w:hAnsi="Times New Roman" w:cs="Times New Roman"/>
          <w:bCs/>
          <w:sz w:val="16"/>
          <w:szCs w:val="16"/>
          <w:lang w:val="en-GB"/>
        </w:rPr>
        <w:t>ed.),</w:t>
      </w:r>
      <w:r>
        <w:rPr>
          <w:rFonts w:ascii="Times New Roman" w:hAnsi="Times New Roman" w:cs="Times New Roman"/>
          <w:bCs/>
          <w:sz w:val="16"/>
          <w:szCs w:val="16"/>
          <w:lang w:val="en-GB"/>
        </w:rPr>
        <w:t xml:space="preserve"> 2014:</w:t>
      </w:r>
      <w:r w:rsidRPr="004D1A07">
        <w:rPr>
          <w:rFonts w:ascii="Times New Roman" w:hAnsi="Times New Roman" w:cs="Times New Roman"/>
          <w:bCs/>
          <w:sz w:val="16"/>
          <w:szCs w:val="16"/>
          <w:lang w:val="en-GB"/>
        </w:rPr>
        <w:t xml:space="preserve"> </w:t>
      </w:r>
      <w:r w:rsidRPr="004D1A07">
        <w:rPr>
          <w:rFonts w:ascii="Times New Roman" w:hAnsi="Times New Roman" w:cs="Times New Roman"/>
          <w:bCs/>
          <w:i/>
          <w:sz w:val="16"/>
          <w:szCs w:val="16"/>
          <w:lang w:val="en-GB"/>
        </w:rPr>
        <w:t>The Political Economy of the 2014-2020 Common Agricultural Policy. An Imperfect Storm</w:t>
      </w:r>
      <w:r w:rsidRPr="004D1A07">
        <w:rPr>
          <w:rFonts w:ascii="Times New Roman" w:hAnsi="Times New Roman" w:cs="Times New Roman"/>
          <w:bCs/>
          <w:sz w:val="16"/>
          <w:szCs w:val="16"/>
          <w:lang w:val="en-GB"/>
        </w:rPr>
        <w:t xml:space="preserve">. </w:t>
      </w:r>
      <w:r w:rsidRPr="004D1A07">
        <w:rPr>
          <w:rFonts w:ascii="Times New Roman" w:hAnsi="Times New Roman" w:cs="Times New Roman"/>
          <w:sz w:val="16"/>
          <w:szCs w:val="16"/>
          <w:lang w:val="en-GB"/>
        </w:rPr>
        <w:t>Centre for European Policy Studies (CEPS), Brussels</w:t>
      </w:r>
    </w:p>
    <w:p w14:paraId="24A41894" w14:textId="77777777" w:rsidR="00094329" w:rsidRPr="004D1A07" w:rsidRDefault="00094329" w:rsidP="00C87342">
      <w:pPr>
        <w:pStyle w:val="FootnoteText"/>
        <w:numPr>
          <w:ilvl w:val="0"/>
          <w:numId w:val="12"/>
        </w:numPr>
        <w:tabs>
          <w:tab w:val="left" w:pos="284"/>
        </w:tabs>
        <w:jc w:val="both"/>
        <w:rPr>
          <w:rFonts w:ascii="Times New Roman" w:hAnsi="Times New Roman" w:cs="Times New Roman"/>
          <w:i/>
          <w:sz w:val="16"/>
          <w:szCs w:val="16"/>
          <w:lang w:val="en-GB"/>
        </w:rPr>
      </w:pPr>
      <w:r w:rsidRPr="004D1A07">
        <w:rPr>
          <w:rFonts w:ascii="Times New Roman" w:eastAsiaTheme="minorEastAsia" w:hAnsi="Times New Roman" w:cs="Times New Roman"/>
          <w:i/>
          <w:color w:val="000000" w:themeColor="text1"/>
          <w:kern w:val="24"/>
          <w:sz w:val="16"/>
          <w:szCs w:val="16"/>
          <w:lang w:val="en-US" w:eastAsia="pl-PL"/>
        </w:rPr>
        <w:t>Timeline relative to the post 2020 CAP discussions</w:t>
      </w:r>
      <w:r w:rsidRPr="004D1A07">
        <w:rPr>
          <w:rFonts w:ascii="Times New Roman" w:eastAsiaTheme="minorEastAsia" w:hAnsi="Times New Roman" w:cs="Times New Roman"/>
          <w:color w:val="000000" w:themeColor="text1"/>
          <w:kern w:val="24"/>
          <w:sz w:val="16"/>
          <w:szCs w:val="16"/>
          <w:lang w:val="en-GB" w:eastAsia="pl-PL"/>
        </w:rPr>
        <w:t>,</w:t>
      </w:r>
      <w:r>
        <w:rPr>
          <w:rFonts w:ascii="Times New Roman" w:eastAsiaTheme="minorEastAsia" w:hAnsi="Times New Roman" w:cs="Times New Roman"/>
          <w:color w:val="000000" w:themeColor="text1"/>
          <w:kern w:val="24"/>
          <w:sz w:val="16"/>
          <w:szCs w:val="16"/>
          <w:lang w:val="en-GB" w:eastAsia="pl-PL"/>
        </w:rPr>
        <w:t xml:space="preserve"> 2017:</w:t>
      </w:r>
      <w:r w:rsidRPr="004D1A07">
        <w:rPr>
          <w:rFonts w:ascii="Times New Roman" w:eastAsiaTheme="minorEastAsia" w:hAnsi="Times New Roman" w:cs="Times New Roman"/>
          <w:color w:val="000000" w:themeColor="text1"/>
          <w:kern w:val="24"/>
          <w:sz w:val="16"/>
          <w:szCs w:val="16"/>
          <w:lang w:val="en-GB" w:eastAsia="pl-PL"/>
        </w:rPr>
        <w:t xml:space="preserve"> European Commission, </w:t>
      </w:r>
      <w:proofErr w:type="gramStart"/>
      <w:r w:rsidRPr="004D1A07">
        <w:rPr>
          <w:rFonts w:ascii="Times New Roman" w:eastAsiaTheme="minorEastAsia" w:hAnsi="Times New Roman" w:cs="Times New Roman"/>
          <w:color w:val="000000" w:themeColor="text1"/>
          <w:kern w:val="24"/>
          <w:sz w:val="16"/>
          <w:szCs w:val="16"/>
          <w:lang w:val="en-GB" w:eastAsia="pl-PL"/>
        </w:rPr>
        <w:t>PAC(</w:t>
      </w:r>
      <w:proofErr w:type="gramEnd"/>
      <w:r w:rsidRPr="004D1A07">
        <w:rPr>
          <w:rFonts w:ascii="Times New Roman" w:eastAsiaTheme="minorEastAsia" w:hAnsi="Times New Roman" w:cs="Times New Roman"/>
          <w:color w:val="000000" w:themeColor="text1"/>
          <w:kern w:val="24"/>
          <w:sz w:val="16"/>
          <w:szCs w:val="16"/>
          <w:lang w:val="en-GB" w:eastAsia="pl-PL"/>
        </w:rPr>
        <w:t>16)9550:7</w:t>
      </w:r>
    </w:p>
    <w:p w14:paraId="464F9FC3" w14:textId="77777777" w:rsidR="00094329" w:rsidRPr="004D1A07" w:rsidRDefault="00094329" w:rsidP="00C87342">
      <w:pPr>
        <w:pStyle w:val="ListParagraph"/>
        <w:numPr>
          <w:ilvl w:val="0"/>
          <w:numId w:val="12"/>
        </w:numPr>
        <w:tabs>
          <w:tab w:val="left" w:pos="284"/>
        </w:tabs>
        <w:spacing w:after="0" w:line="240" w:lineRule="auto"/>
        <w:jc w:val="both"/>
        <w:rPr>
          <w:rFonts w:ascii="Times New Roman" w:hAnsi="Times New Roman" w:cs="Times New Roman"/>
          <w:bCs/>
          <w:sz w:val="16"/>
          <w:szCs w:val="16"/>
          <w:lang w:val="en-GB"/>
        </w:rPr>
      </w:pPr>
      <w:r w:rsidRPr="004D1A07">
        <w:rPr>
          <w:rFonts w:ascii="Times New Roman" w:hAnsi="Times New Roman" w:cs="Times New Roman"/>
          <w:sz w:val="16"/>
          <w:szCs w:val="16"/>
          <w:lang w:val="en-US"/>
        </w:rPr>
        <w:lastRenderedPageBreak/>
        <w:t xml:space="preserve">Van der </w:t>
      </w:r>
      <w:proofErr w:type="spellStart"/>
      <w:r w:rsidRPr="004D1A07">
        <w:rPr>
          <w:rFonts w:ascii="Times New Roman" w:hAnsi="Times New Roman" w:cs="Times New Roman"/>
          <w:sz w:val="16"/>
          <w:szCs w:val="16"/>
          <w:lang w:val="en-US"/>
        </w:rPr>
        <w:t>Ploeg</w:t>
      </w:r>
      <w:proofErr w:type="spellEnd"/>
      <w:r w:rsidRPr="004D1A07">
        <w:rPr>
          <w:rFonts w:ascii="Times New Roman" w:hAnsi="Times New Roman" w:cs="Times New Roman"/>
          <w:sz w:val="16"/>
          <w:szCs w:val="16"/>
          <w:lang w:val="en-US"/>
        </w:rPr>
        <w:t xml:space="preserve">, 2016: </w:t>
      </w:r>
      <w:r w:rsidRPr="004D1A07">
        <w:rPr>
          <w:rFonts w:ascii="Times New Roman" w:eastAsia="Times New Roman" w:hAnsi="Times New Roman" w:cs="Times New Roman"/>
          <w:bCs/>
          <w:i/>
          <w:kern w:val="36"/>
          <w:sz w:val="16"/>
          <w:szCs w:val="16"/>
          <w:lang w:val="en-US" w:eastAsia="pl-PL"/>
        </w:rPr>
        <w:t xml:space="preserve">After CAP Towards an integrated rural development policy 2.0, </w:t>
      </w:r>
      <w:r w:rsidRPr="004D1A07">
        <w:rPr>
          <w:rFonts w:ascii="Times New Roman" w:hAnsi="Times New Roman" w:cs="Times New Roman"/>
          <w:bCs/>
          <w:iCs/>
          <w:sz w:val="16"/>
          <w:szCs w:val="16"/>
          <w:lang w:val="en-US" w:eastAsia="pl-PL"/>
        </w:rPr>
        <w:t xml:space="preserve"> </w:t>
      </w:r>
      <w:r w:rsidRPr="004D1A07">
        <w:rPr>
          <w:rFonts w:ascii="Times New Roman" w:eastAsia="Times New Roman" w:hAnsi="Times New Roman" w:cs="Times New Roman"/>
          <w:sz w:val="16"/>
          <w:szCs w:val="16"/>
          <w:lang w:val="en-US" w:eastAsia="pl-PL"/>
        </w:rPr>
        <w:t xml:space="preserve">Posted on 31 October, 2016 by </w:t>
      </w:r>
      <w:hyperlink r:id="rId12" w:history="1">
        <w:r w:rsidRPr="004D1A07">
          <w:rPr>
            <w:rFonts w:ascii="Times New Roman" w:eastAsia="Times New Roman" w:hAnsi="Times New Roman" w:cs="Times New Roman"/>
            <w:sz w:val="16"/>
            <w:szCs w:val="16"/>
            <w:lang w:val="en-US" w:eastAsia="pl-PL"/>
          </w:rPr>
          <w:t>ARC</w:t>
        </w:r>
      </w:hyperlink>
    </w:p>
    <w:p w14:paraId="77B0C5F1" w14:textId="77777777" w:rsidR="00094329" w:rsidRPr="004D1A07" w:rsidRDefault="00094329" w:rsidP="00C87342">
      <w:pPr>
        <w:pStyle w:val="ListParagraph"/>
        <w:numPr>
          <w:ilvl w:val="0"/>
          <w:numId w:val="12"/>
        </w:numPr>
        <w:tabs>
          <w:tab w:val="left" w:pos="284"/>
        </w:tabs>
        <w:spacing w:after="0" w:line="240" w:lineRule="auto"/>
        <w:jc w:val="both"/>
        <w:rPr>
          <w:rFonts w:ascii="Times New Roman" w:eastAsia="MyriadPro-Light" w:hAnsi="Times New Roman" w:cs="Times New Roman"/>
          <w:sz w:val="16"/>
          <w:szCs w:val="16"/>
          <w:lang w:val="en-GB"/>
        </w:rPr>
      </w:pPr>
      <w:r w:rsidRPr="004D1A07">
        <w:rPr>
          <w:rFonts w:ascii="Times New Roman" w:hAnsi="Times New Roman" w:cs="Times New Roman"/>
          <w:bCs/>
          <w:i/>
          <w:sz w:val="16"/>
          <w:szCs w:val="16"/>
          <w:lang w:val="en-GB"/>
        </w:rPr>
        <w:t xml:space="preserve">White Paper A new strategic course for the CAP, </w:t>
      </w:r>
      <w:proofErr w:type="gramStart"/>
      <w:r w:rsidRPr="004D1A07">
        <w:rPr>
          <w:rFonts w:ascii="Times New Roman" w:hAnsi="Times New Roman" w:cs="Times New Roman"/>
          <w:bCs/>
          <w:i/>
          <w:sz w:val="16"/>
          <w:szCs w:val="16"/>
          <w:lang w:val="en-GB"/>
        </w:rPr>
        <w:t xml:space="preserve">2016, </w:t>
      </w:r>
      <w:r w:rsidRPr="004D1A07">
        <w:rPr>
          <w:rFonts w:ascii="Times New Roman" w:hAnsi="Times New Roman" w:cs="Times New Roman"/>
          <w:iCs/>
          <w:sz w:val="16"/>
          <w:szCs w:val="16"/>
          <w:lang w:val="en-GB"/>
        </w:rPr>
        <w:t xml:space="preserve"> MOMAGRI</w:t>
      </w:r>
      <w:proofErr w:type="gramEnd"/>
      <w:r w:rsidRPr="004D1A07">
        <w:rPr>
          <w:rFonts w:ascii="Times New Roman" w:hAnsi="Times New Roman" w:cs="Times New Roman"/>
          <w:iCs/>
          <w:sz w:val="16"/>
          <w:szCs w:val="16"/>
          <w:lang w:val="en-GB"/>
        </w:rPr>
        <w:t>, Paris.</w:t>
      </w:r>
    </w:p>
    <w:p w14:paraId="53A6A10A" w14:textId="47D5754F" w:rsidR="00094329" w:rsidRPr="008E3B98" w:rsidRDefault="00094329" w:rsidP="00C87342">
      <w:pPr>
        <w:pStyle w:val="ListParagraph"/>
        <w:numPr>
          <w:ilvl w:val="0"/>
          <w:numId w:val="12"/>
        </w:numPr>
        <w:tabs>
          <w:tab w:val="left" w:pos="284"/>
        </w:tabs>
        <w:spacing w:after="0" w:line="240" w:lineRule="auto"/>
        <w:jc w:val="both"/>
        <w:rPr>
          <w:rFonts w:ascii="Times New Roman" w:eastAsia="MyriadPro-Light" w:hAnsi="Times New Roman" w:cs="Times New Roman"/>
          <w:sz w:val="16"/>
          <w:szCs w:val="16"/>
          <w:lang w:val="en-GB"/>
        </w:rPr>
      </w:pPr>
      <w:r w:rsidRPr="008E3B98">
        <w:rPr>
          <w:rFonts w:ascii="Times New Roman" w:hAnsi="Times New Roman" w:cs="Times New Roman"/>
          <w:i/>
          <w:noProof/>
          <w:sz w:val="16"/>
          <w:szCs w:val="16"/>
          <w:lang w:val="en-US" w:eastAsia="pl-PL"/>
        </w:rPr>
        <w:t>D</w:t>
      </w:r>
      <w:proofErr w:type="spellStart"/>
      <w:r w:rsidRPr="008E3B98">
        <w:rPr>
          <w:rFonts w:ascii="Times New Roman" w:hAnsi="Times New Roman" w:cs="Times New Roman"/>
          <w:bCs/>
          <w:i/>
          <w:sz w:val="16"/>
          <w:szCs w:val="16"/>
          <w:lang w:val="en-US"/>
        </w:rPr>
        <w:t>eal</w:t>
      </w:r>
      <w:proofErr w:type="spellEnd"/>
      <w:r w:rsidRPr="008E3B98">
        <w:rPr>
          <w:rFonts w:ascii="Times New Roman" w:hAnsi="Times New Roman" w:cs="Times New Roman"/>
          <w:bCs/>
          <w:i/>
          <w:sz w:val="16"/>
          <w:szCs w:val="16"/>
          <w:lang w:val="en-US"/>
        </w:rPr>
        <w:t xml:space="preserve"> on the agricultural aspects of the Omnibus regulation confirmed</w:t>
      </w:r>
      <w:r w:rsidRPr="008E3B98">
        <w:rPr>
          <w:rFonts w:ascii="Times New Roman" w:hAnsi="Times New Roman" w:cs="Times New Roman"/>
          <w:bCs/>
          <w:sz w:val="16"/>
          <w:szCs w:val="16"/>
          <w:lang w:val="en-US"/>
        </w:rPr>
        <w:t xml:space="preserve">, 2017: </w:t>
      </w:r>
      <w:proofErr w:type="spellStart"/>
      <w:r w:rsidRPr="008E3B98">
        <w:rPr>
          <w:rFonts w:ascii="Times New Roman" w:hAnsi="Times New Roman" w:cs="Times New Roman"/>
          <w:bCs/>
          <w:sz w:val="16"/>
          <w:szCs w:val="16"/>
          <w:lang w:val="en-US"/>
        </w:rPr>
        <w:t>notatka</w:t>
      </w:r>
      <w:proofErr w:type="spellEnd"/>
      <w:r w:rsidRPr="008E3B98">
        <w:rPr>
          <w:rFonts w:ascii="Times New Roman" w:hAnsi="Times New Roman" w:cs="Times New Roman"/>
          <w:bCs/>
          <w:sz w:val="16"/>
          <w:szCs w:val="16"/>
          <w:lang w:val="en-US"/>
        </w:rPr>
        <w:t xml:space="preserve"> </w:t>
      </w:r>
      <w:proofErr w:type="spellStart"/>
      <w:r w:rsidRPr="008E3B98">
        <w:rPr>
          <w:rFonts w:ascii="Times New Roman" w:hAnsi="Times New Roman" w:cs="Times New Roman"/>
          <w:bCs/>
          <w:sz w:val="16"/>
          <w:szCs w:val="16"/>
          <w:lang w:val="en-US"/>
        </w:rPr>
        <w:t>prasowa</w:t>
      </w:r>
      <w:proofErr w:type="spellEnd"/>
      <w:r w:rsidRPr="008E3B98">
        <w:rPr>
          <w:rFonts w:ascii="Times New Roman" w:hAnsi="Times New Roman" w:cs="Times New Roman"/>
          <w:bCs/>
          <w:sz w:val="16"/>
          <w:szCs w:val="16"/>
          <w:lang w:val="en-US"/>
        </w:rPr>
        <w:t xml:space="preserve"> </w:t>
      </w:r>
      <w:proofErr w:type="spellStart"/>
      <w:r w:rsidRPr="008E3B98">
        <w:rPr>
          <w:rFonts w:ascii="Times New Roman" w:hAnsi="Times New Roman" w:cs="Times New Roman"/>
          <w:bCs/>
          <w:sz w:val="16"/>
          <w:szCs w:val="16"/>
          <w:lang w:val="en-US"/>
        </w:rPr>
        <w:t>nr</w:t>
      </w:r>
      <w:proofErr w:type="spellEnd"/>
      <w:r w:rsidRPr="008E3B98">
        <w:rPr>
          <w:rFonts w:ascii="Times New Roman" w:hAnsi="Times New Roman" w:cs="Times New Roman"/>
          <w:bCs/>
          <w:sz w:val="16"/>
          <w:szCs w:val="16"/>
          <w:lang w:val="en-US"/>
        </w:rPr>
        <w:t xml:space="preserve"> </w:t>
      </w:r>
      <w:r w:rsidRPr="008E3B98">
        <w:rPr>
          <w:rFonts w:ascii="Times New Roman" w:hAnsi="Times New Roman" w:cs="Times New Roman"/>
          <w:sz w:val="16"/>
          <w:szCs w:val="16"/>
          <w:lang w:val="en-US"/>
        </w:rPr>
        <w:t xml:space="preserve">591/17, 16 </w:t>
      </w:r>
      <w:proofErr w:type="spellStart"/>
      <w:r w:rsidRPr="008E3B98">
        <w:rPr>
          <w:rFonts w:ascii="Times New Roman" w:hAnsi="Times New Roman" w:cs="Times New Roman"/>
          <w:sz w:val="16"/>
          <w:szCs w:val="16"/>
          <w:lang w:val="en-US"/>
        </w:rPr>
        <w:t>października</w:t>
      </w:r>
      <w:proofErr w:type="spellEnd"/>
      <w:r w:rsidRPr="008E3B98">
        <w:rPr>
          <w:rFonts w:ascii="Times New Roman" w:hAnsi="Times New Roman" w:cs="Times New Roman"/>
          <w:sz w:val="16"/>
          <w:szCs w:val="16"/>
          <w:lang w:val="en-US"/>
        </w:rPr>
        <w:t xml:space="preserve"> 2017 </w:t>
      </w:r>
      <w:proofErr w:type="spellStart"/>
      <w:r w:rsidRPr="008E3B98">
        <w:rPr>
          <w:rFonts w:ascii="Times New Roman" w:hAnsi="Times New Roman" w:cs="Times New Roman"/>
          <w:sz w:val="16"/>
          <w:szCs w:val="16"/>
          <w:lang w:val="en-US"/>
        </w:rPr>
        <w:t>roku</w:t>
      </w:r>
      <w:proofErr w:type="spellEnd"/>
      <w:r w:rsidRPr="008E3B98">
        <w:rPr>
          <w:rFonts w:ascii="Times New Roman" w:hAnsi="Times New Roman" w:cs="Times New Roman"/>
          <w:bCs/>
          <w:sz w:val="16"/>
          <w:szCs w:val="16"/>
          <w:lang w:val="en-US"/>
        </w:rPr>
        <w:t>, Council of the EU</w:t>
      </w:r>
    </w:p>
    <w:sectPr w:rsidR="00094329" w:rsidRPr="008E3B98" w:rsidSect="00094329">
      <w:pgSz w:w="11906" w:h="16838"/>
      <w:pgMar w:top="3005" w:right="2268" w:bottom="300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FFF25" w14:textId="77777777" w:rsidR="00EB779C" w:rsidRDefault="00EB779C" w:rsidP="001A167E">
      <w:pPr>
        <w:spacing w:after="0" w:line="240" w:lineRule="auto"/>
      </w:pPr>
      <w:r>
        <w:separator/>
      </w:r>
    </w:p>
  </w:endnote>
  <w:endnote w:type="continuationSeparator" w:id="0">
    <w:p w14:paraId="25C40562" w14:textId="77777777" w:rsidR="00EB779C" w:rsidRDefault="00EB779C" w:rsidP="001A1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yriadPro-Light">
    <w:altName w:val="MS Gothic"/>
    <w:panose1 w:val="00000000000000000000"/>
    <w:charset w:val="80"/>
    <w:family w:val="swiss"/>
    <w:notTrueType/>
    <w:pitch w:val="default"/>
    <w:sig w:usb0="00000001" w:usb1="08070000" w:usb2="00000010" w:usb3="00000000" w:csb0="00020000" w:csb1="00000000"/>
  </w:font>
  <w:font w:name="+mn-e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D736F" w14:textId="77777777" w:rsidR="00EB779C" w:rsidRDefault="00EB779C" w:rsidP="001A167E">
      <w:pPr>
        <w:spacing w:after="0" w:line="240" w:lineRule="auto"/>
      </w:pPr>
      <w:r>
        <w:separator/>
      </w:r>
    </w:p>
  </w:footnote>
  <w:footnote w:type="continuationSeparator" w:id="0">
    <w:p w14:paraId="1C9788BD" w14:textId="77777777" w:rsidR="00EB779C" w:rsidRDefault="00EB779C" w:rsidP="001A167E">
      <w:pPr>
        <w:spacing w:after="0" w:line="240" w:lineRule="auto"/>
      </w:pPr>
      <w:r>
        <w:continuationSeparator/>
      </w:r>
    </w:p>
  </w:footnote>
  <w:footnote w:id="1">
    <w:p w14:paraId="59A0E9FA" w14:textId="1B50C313" w:rsidR="006825C3" w:rsidRPr="00674FD8" w:rsidRDefault="006825C3" w:rsidP="006825C3">
      <w:pPr>
        <w:pStyle w:val="FootnoteText"/>
        <w:jc w:val="both"/>
        <w:rPr>
          <w:rFonts w:ascii="Times New Roman" w:hAnsi="Times New Roman" w:cs="Times New Roman"/>
          <w:sz w:val="16"/>
          <w:szCs w:val="16"/>
        </w:rPr>
      </w:pPr>
      <w:r w:rsidRPr="007313E0">
        <w:rPr>
          <w:rStyle w:val="FootnoteReference"/>
          <w:rFonts w:ascii="Times New Roman" w:hAnsi="Times New Roman" w:cs="Times New Roman"/>
        </w:rPr>
        <w:footnoteRef/>
      </w:r>
      <w:r w:rsidRPr="00674FD8">
        <w:rPr>
          <w:rFonts w:ascii="Times New Roman" w:hAnsi="Times New Roman" w:cs="Times New Roman"/>
          <w:sz w:val="16"/>
          <w:szCs w:val="16"/>
        </w:rPr>
        <w:t>25 marca 1957 r. sześć krajów założycielskich (RFN, Francja, Belgia, Holandia, Luksemburg i Włochy) podpisało Traktaty Rzymskie ustanawiały Europejską Wspólnotę Gospodarczą (EWG) oraz Europejską Wspólnotę Energii Atomowej (EUROATOM).</w:t>
      </w:r>
    </w:p>
  </w:footnote>
  <w:footnote w:id="2">
    <w:p w14:paraId="7E42C7F6" w14:textId="59B0D503" w:rsidR="001A167E" w:rsidRPr="00674FD8" w:rsidRDefault="001A167E" w:rsidP="00674FD8">
      <w:pPr>
        <w:pStyle w:val="FootnoteText"/>
        <w:jc w:val="both"/>
        <w:rPr>
          <w:rFonts w:ascii="Times New Roman" w:hAnsi="Times New Roman" w:cs="Times New Roman"/>
          <w:sz w:val="16"/>
          <w:szCs w:val="16"/>
        </w:rPr>
      </w:pPr>
      <w:r w:rsidRPr="00BF6E68">
        <w:rPr>
          <w:rStyle w:val="FootnoteReference"/>
          <w:rFonts w:ascii="Times New Roman" w:hAnsi="Times New Roman" w:cs="Times New Roman"/>
        </w:rPr>
        <w:footnoteRef/>
      </w:r>
      <w:r w:rsidRPr="00BF6E68">
        <w:rPr>
          <w:rFonts w:ascii="Times New Roman" w:hAnsi="Times New Roman" w:cs="Times New Roman"/>
        </w:rPr>
        <w:t xml:space="preserve"> </w:t>
      </w:r>
      <w:r w:rsidR="00DE1E80" w:rsidRPr="00674FD8">
        <w:rPr>
          <w:rFonts w:ascii="Times New Roman" w:hAnsi="Times New Roman" w:cs="Times New Roman"/>
          <w:sz w:val="16"/>
          <w:szCs w:val="16"/>
        </w:rPr>
        <w:t>W tym p</w:t>
      </w:r>
      <w:r w:rsidRPr="00674FD8">
        <w:rPr>
          <w:rFonts w:ascii="Times New Roman" w:hAnsi="Times New Roman" w:cs="Times New Roman"/>
          <w:sz w:val="16"/>
          <w:szCs w:val="16"/>
        </w:rPr>
        <w:t xml:space="preserve">rzede wszystkim </w:t>
      </w:r>
      <w:r w:rsidR="00DE1E80" w:rsidRPr="00674FD8">
        <w:rPr>
          <w:rFonts w:ascii="Times New Roman" w:hAnsi="Times New Roman" w:cs="Times New Roman"/>
          <w:sz w:val="16"/>
          <w:szCs w:val="16"/>
        </w:rPr>
        <w:t xml:space="preserve">od </w:t>
      </w:r>
      <w:r w:rsidRPr="00674FD8">
        <w:rPr>
          <w:rFonts w:ascii="Times New Roman" w:hAnsi="Times New Roman" w:cs="Times New Roman"/>
          <w:sz w:val="16"/>
          <w:szCs w:val="16"/>
        </w:rPr>
        <w:t>siły głosu COPA-COGECA, a w ostatnich latach także organizacji pro środowiskowych.</w:t>
      </w:r>
    </w:p>
  </w:footnote>
  <w:footnote w:id="3">
    <w:p w14:paraId="7A0C51E6" w14:textId="02D74A93" w:rsidR="00EF1492" w:rsidRPr="00674FD8" w:rsidRDefault="00EF1492" w:rsidP="00674FD8">
      <w:pPr>
        <w:shd w:val="clear" w:color="auto" w:fill="FFFFFF"/>
        <w:spacing w:after="0" w:line="240" w:lineRule="auto"/>
        <w:jc w:val="both"/>
        <w:rPr>
          <w:rFonts w:ascii="Times New Roman" w:hAnsi="Times New Roman" w:cs="Times New Roman"/>
          <w:sz w:val="16"/>
          <w:szCs w:val="16"/>
        </w:rPr>
      </w:pPr>
      <w:r w:rsidRPr="00674FD8">
        <w:rPr>
          <w:rStyle w:val="FootnoteReference"/>
          <w:rFonts w:ascii="Times New Roman" w:hAnsi="Times New Roman" w:cs="Times New Roman"/>
          <w:sz w:val="16"/>
          <w:szCs w:val="16"/>
        </w:rPr>
        <w:footnoteRef/>
      </w:r>
      <w:r w:rsidRPr="00674FD8">
        <w:rPr>
          <w:rFonts w:ascii="Times New Roman" w:hAnsi="Times New Roman" w:cs="Times New Roman"/>
          <w:sz w:val="16"/>
          <w:szCs w:val="16"/>
        </w:rPr>
        <w:t xml:space="preserve"> </w:t>
      </w:r>
      <w:r w:rsidRPr="00674FD8">
        <w:rPr>
          <w:rFonts w:ascii="Times New Roman" w:hAnsi="Times New Roman" w:cs="Times New Roman"/>
          <w:sz w:val="16"/>
          <w:szCs w:val="16"/>
        </w:rPr>
        <w:t xml:space="preserve">Reforma MacSharry’ego </w:t>
      </w:r>
      <w:r w:rsidR="00674FD8">
        <w:rPr>
          <w:rFonts w:ascii="Times New Roman" w:hAnsi="Times New Roman" w:cs="Times New Roman"/>
          <w:sz w:val="16"/>
          <w:szCs w:val="16"/>
        </w:rPr>
        <w:t>z</w:t>
      </w:r>
      <w:r w:rsidRPr="00674FD8">
        <w:rPr>
          <w:rFonts w:ascii="Times New Roman" w:hAnsi="Times New Roman" w:cs="Times New Roman"/>
          <w:sz w:val="16"/>
          <w:szCs w:val="16"/>
        </w:rPr>
        <w:t xml:space="preserve"> 1992 r</w:t>
      </w:r>
      <w:r w:rsidR="00674FD8">
        <w:rPr>
          <w:rFonts w:ascii="Times New Roman" w:hAnsi="Times New Roman" w:cs="Times New Roman"/>
          <w:sz w:val="16"/>
          <w:szCs w:val="16"/>
        </w:rPr>
        <w:t xml:space="preserve">. </w:t>
      </w:r>
      <w:r w:rsidRPr="00674FD8">
        <w:rPr>
          <w:rFonts w:ascii="Times New Roman" w:hAnsi="Times New Roman" w:cs="Times New Roman"/>
          <w:sz w:val="16"/>
          <w:szCs w:val="16"/>
        </w:rPr>
        <w:t xml:space="preserve"> obejmowała: </w:t>
      </w:r>
      <w:r w:rsidRPr="00674FD8">
        <w:rPr>
          <w:rFonts w:ascii="Times New Roman" w:eastAsia="Times New Roman" w:hAnsi="Times New Roman" w:cs="Times New Roman"/>
          <w:color w:val="222222"/>
          <w:sz w:val="16"/>
          <w:szCs w:val="16"/>
          <w:lang w:eastAsia="en-GB"/>
        </w:rPr>
        <w:t>stopniowe obniżenie cen gwarantowanych na podstawowe produkty rolne (pierwotnie rozłożone na 3 lata); wpr</w:t>
      </w:r>
      <w:r w:rsidR="00674FD8">
        <w:rPr>
          <w:rFonts w:ascii="Times New Roman" w:eastAsia="Times New Roman" w:hAnsi="Times New Roman" w:cs="Times New Roman"/>
          <w:color w:val="222222"/>
          <w:sz w:val="16"/>
          <w:szCs w:val="16"/>
          <w:lang w:eastAsia="en-GB"/>
        </w:rPr>
        <w:t xml:space="preserve">owadzenie dopłat bezpośrednich </w:t>
      </w:r>
      <w:r w:rsidRPr="00674FD8">
        <w:rPr>
          <w:rFonts w:ascii="Times New Roman" w:eastAsia="Times New Roman" w:hAnsi="Times New Roman" w:cs="Times New Roman"/>
          <w:color w:val="222222"/>
          <w:sz w:val="16"/>
          <w:szCs w:val="16"/>
          <w:lang w:eastAsia="en-GB"/>
        </w:rPr>
        <w:t>dla rolników, którzy zgodzą się zmniejszyć produkcję zwi</w:t>
      </w:r>
      <w:r w:rsidR="00674FD8">
        <w:rPr>
          <w:rFonts w:ascii="Times New Roman" w:eastAsia="Times New Roman" w:hAnsi="Times New Roman" w:cs="Times New Roman"/>
          <w:color w:val="222222"/>
          <w:sz w:val="16"/>
          <w:szCs w:val="16"/>
          <w:lang w:eastAsia="en-GB"/>
        </w:rPr>
        <w:t>erzęcą lub powierzchnię uprawną</w:t>
      </w:r>
      <w:r w:rsidRPr="00674FD8">
        <w:rPr>
          <w:rFonts w:ascii="Times New Roman" w:eastAsia="Times New Roman" w:hAnsi="Times New Roman" w:cs="Times New Roman"/>
          <w:color w:val="222222"/>
          <w:sz w:val="16"/>
          <w:szCs w:val="16"/>
          <w:lang w:eastAsia="en-GB"/>
        </w:rPr>
        <w:t>; programy strukturalne dla sektora rolnego; przeznaczenie większych środków na rozwój wsi.</w:t>
      </w:r>
    </w:p>
  </w:footnote>
  <w:footnote w:id="4">
    <w:p w14:paraId="702DAAC8" w14:textId="291289F0" w:rsidR="00BF6E68" w:rsidRPr="00674FD8" w:rsidRDefault="00E624F8" w:rsidP="00674FD8">
      <w:pPr>
        <w:spacing w:after="0" w:line="240" w:lineRule="auto"/>
        <w:jc w:val="both"/>
        <w:rPr>
          <w:rFonts w:ascii="Times New Roman" w:hAnsi="Times New Roman" w:cs="Times New Roman"/>
          <w:iCs/>
          <w:sz w:val="16"/>
          <w:szCs w:val="16"/>
        </w:rPr>
      </w:pPr>
      <w:r w:rsidRPr="00674FD8">
        <w:rPr>
          <w:rStyle w:val="FootnoteReference"/>
          <w:rFonts w:ascii="Times New Roman" w:hAnsi="Times New Roman" w:cs="Times New Roman"/>
          <w:sz w:val="16"/>
          <w:szCs w:val="16"/>
        </w:rPr>
        <w:footnoteRef/>
      </w:r>
      <w:r w:rsidRPr="00674FD8">
        <w:rPr>
          <w:rFonts w:ascii="Times New Roman" w:hAnsi="Times New Roman" w:cs="Times New Roman"/>
          <w:sz w:val="16"/>
          <w:szCs w:val="16"/>
        </w:rPr>
        <w:t xml:space="preserve"> </w:t>
      </w:r>
      <w:r w:rsidR="00674FD8">
        <w:rPr>
          <w:rFonts w:ascii="Times New Roman" w:hAnsi="Times New Roman" w:cs="Times New Roman"/>
          <w:sz w:val="16"/>
          <w:szCs w:val="16"/>
        </w:rPr>
        <w:t>Badanie realizowane w 2016 r.</w:t>
      </w:r>
      <w:r w:rsidRPr="00674FD8">
        <w:rPr>
          <w:rFonts w:ascii="Times New Roman" w:hAnsi="Times New Roman" w:cs="Times New Roman"/>
          <w:sz w:val="16"/>
          <w:szCs w:val="16"/>
        </w:rPr>
        <w:t xml:space="preserve"> na zlecenie Europejskiego Funduszu Rozwoju Wsi Polskiej</w:t>
      </w:r>
      <w:r w:rsidR="00BF6E68" w:rsidRPr="00674FD8">
        <w:rPr>
          <w:rFonts w:ascii="Times New Roman" w:hAnsi="Times New Roman" w:cs="Times New Roman"/>
          <w:sz w:val="16"/>
          <w:szCs w:val="16"/>
        </w:rPr>
        <w:t xml:space="preserve">, </w:t>
      </w:r>
      <w:r w:rsidR="00BF6E68" w:rsidRPr="00674FD8">
        <w:rPr>
          <w:rFonts w:ascii="Times New Roman" w:hAnsi="Times New Roman" w:cs="Times New Roman"/>
          <w:i/>
          <w:iCs/>
          <w:sz w:val="16"/>
          <w:szCs w:val="16"/>
        </w:rPr>
        <w:t>System dopłat bezpośrednich Wspólnej Polityki Rolnej Unii Europejskiej. Rola, znaczenie i ewolucja</w:t>
      </w:r>
      <w:r w:rsidR="00BF6E68" w:rsidRPr="00674FD8">
        <w:rPr>
          <w:rFonts w:ascii="Times New Roman" w:hAnsi="Times New Roman" w:cs="Times New Roman"/>
          <w:iCs/>
          <w:sz w:val="16"/>
          <w:szCs w:val="16"/>
        </w:rPr>
        <w:t>; www.efrwp.org.pl</w:t>
      </w:r>
    </w:p>
    <w:p w14:paraId="35A64D87" w14:textId="24A53A66" w:rsidR="00E624F8" w:rsidRPr="00674FD8" w:rsidRDefault="00E624F8" w:rsidP="00674FD8">
      <w:pPr>
        <w:pStyle w:val="FootnoteText"/>
        <w:rPr>
          <w:rFonts w:ascii="Times New Roman" w:hAnsi="Times New Roman" w:cs="Times New Roman"/>
          <w:sz w:val="16"/>
          <w:szCs w:val="16"/>
        </w:rPr>
      </w:pPr>
    </w:p>
  </w:footnote>
  <w:footnote w:id="5">
    <w:p w14:paraId="6F28D311" w14:textId="5A1ADAEC" w:rsidR="003116DB" w:rsidRPr="00674FD8" w:rsidRDefault="003116DB" w:rsidP="003116DB">
      <w:pPr>
        <w:pStyle w:val="FootnoteText"/>
        <w:jc w:val="both"/>
        <w:rPr>
          <w:sz w:val="16"/>
          <w:szCs w:val="16"/>
        </w:rPr>
      </w:pPr>
      <w:r w:rsidRPr="00674FD8">
        <w:rPr>
          <w:rStyle w:val="FootnoteReference"/>
          <w:rFonts w:ascii="Times New Roman" w:hAnsi="Times New Roman" w:cs="Times New Roman"/>
        </w:rPr>
        <w:footnoteRef/>
      </w:r>
      <w:r w:rsidRPr="00674FD8">
        <w:rPr>
          <w:rFonts w:ascii="Times New Roman" w:hAnsi="Times New Roman" w:cs="Times New Roman"/>
        </w:rPr>
        <w:t xml:space="preserve"> </w:t>
      </w:r>
      <w:r w:rsidRPr="00674FD8">
        <w:rPr>
          <w:rFonts w:ascii="Times New Roman" w:hAnsi="Times New Roman" w:cs="Times New Roman"/>
          <w:sz w:val="16"/>
          <w:szCs w:val="16"/>
        </w:rPr>
        <w:t xml:space="preserve">Płatność ta zastąpiła kilka </w:t>
      </w:r>
      <w:r w:rsidRPr="00674FD8">
        <w:rPr>
          <w:rFonts w:ascii="Times New Roman" w:eastAsia="Calibri" w:hAnsi="Times New Roman" w:cs="Times New Roman"/>
          <w:sz w:val="16"/>
          <w:szCs w:val="16"/>
        </w:rPr>
        <w:t>płatności ukierunkowanych na konkretne kierunki produkcji roślinnej i zwierzęcej.</w:t>
      </w:r>
    </w:p>
  </w:footnote>
  <w:footnote w:id="6">
    <w:p w14:paraId="0C3631F5" w14:textId="77777777" w:rsidR="003116DB" w:rsidRPr="00674FD8" w:rsidRDefault="003116DB" w:rsidP="003116DB">
      <w:pPr>
        <w:pStyle w:val="FootnoteText"/>
        <w:jc w:val="both"/>
        <w:rPr>
          <w:rFonts w:ascii="Times New Roman" w:hAnsi="Times New Roman" w:cs="Times New Roman"/>
          <w:sz w:val="16"/>
          <w:szCs w:val="16"/>
        </w:rPr>
      </w:pPr>
      <w:r w:rsidRPr="00674FD8">
        <w:rPr>
          <w:rStyle w:val="FootnoteReference"/>
          <w:rFonts w:ascii="Times New Roman" w:hAnsi="Times New Roman" w:cs="Times New Roman"/>
          <w:sz w:val="16"/>
          <w:szCs w:val="16"/>
        </w:rPr>
        <w:footnoteRef/>
      </w:r>
      <w:r w:rsidRPr="00674FD8">
        <w:rPr>
          <w:rFonts w:ascii="Times New Roman" w:hAnsi="Times New Roman" w:cs="Times New Roman"/>
          <w:sz w:val="16"/>
          <w:szCs w:val="16"/>
        </w:rPr>
        <w:t xml:space="preserve"> </w:t>
      </w:r>
      <w:r w:rsidRPr="00674FD8">
        <w:rPr>
          <w:rFonts w:ascii="Times New Roman" w:hAnsi="Times New Roman" w:cs="Times New Roman"/>
          <w:sz w:val="16"/>
          <w:szCs w:val="16"/>
        </w:rPr>
        <w:t xml:space="preserve">Rolnicy zostali zobowiązani do spełniania standardów dotyczących </w:t>
      </w:r>
      <w:r w:rsidRPr="00674FD8">
        <w:rPr>
          <w:rFonts w:ascii="Times New Roman" w:eastAsia="Calibri" w:hAnsi="Times New Roman" w:cs="Times New Roman"/>
          <w:sz w:val="16"/>
          <w:szCs w:val="16"/>
        </w:rPr>
        <w:t>ochrony środowiska, jakości żywności, dobrostanu zwierząt oraz bezpieczeństwa pracy w rolnictwie.</w:t>
      </w:r>
    </w:p>
  </w:footnote>
  <w:footnote w:id="7">
    <w:p w14:paraId="5B6CB33B" w14:textId="77777777" w:rsidR="003116DB" w:rsidRPr="00674FD8" w:rsidRDefault="003116DB" w:rsidP="00674FD8">
      <w:pPr>
        <w:pStyle w:val="FootnoteText"/>
        <w:jc w:val="both"/>
        <w:rPr>
          <w:rFonts w:ascii="Times New Roman" w:hAnsi="Times New Roman" w:cs="Times New Roman"/>
          <w:sz w:val="16"/>
          <w:szCs w:val="16"/>
        </w:rPr>
      </w:pPr>
      <w:r w:rsidRPr="00674FD8">
        <w:rPr>
          <w:rStyle w:val="FootnoteReference"/>
          <w:rFonts w:ascii="Times New Roman" w:hAnsi="Times New Roman" w:cs="Times New Roman"/>
          <w:sz w:val="16"/>
          <w:szCs w:val="16"/>
        </w:rPr>
        <w:footnoteRef/>
      </w:r>
      <w:r w:rsidRPr="00674FD8">
        <w:rPr>
          <w:rFonts w:ascii="Times New Roman" w:hAnsi="Times New Roman" w:cs="Times New Roman"/>
          <w:sz w:val="16"/>
          <w:szCs w:val="16"/>
        </w:rPr>
        <w:t xml:space="preserve"> </w:t>
      </w:r>
      <w:r w:rsidRPr="00674FD8">
        <w:rPr>
          <w:rFonts w:ascii="Times New Roman" w:hAnsi="Times New Roman" w:cs="Times New Roman"/>
          <w:sz w:val="16"/>
          <w:szCs w:val="16"/>
        </w:rPr>
        <w:t xml:space="preserve">Wprowadzenie zazielenienia do system płatności bezpośrednim należy postrzegać jako pierwszy krok na drodze do wynagradzania rolników za dostarczanie dóbr publicznych. </w:t>
      </w:r>
    </w:p>
  </w:footnote>
  <w:footnote w:id="8">
    <w:p w14:paraId="0E30028D" w14:textId="17935DBC" w:rsidR="007F7ED7" w:rsidRPr="00674FD8" w:rsidRDefault="007F7ED7" w:rsidP="00674FD8">
      <w:pPr>
        <w:pStyle w:val="FootnoteText"/>
        <w:jc w:val="both"/>
        <w:rPr>
          <w:rFonts w:ascii="Times New Roman" w:hAnsi="Times New Roman" w:cs="Times New Roman"/>
          <w:sz w:val="16"/>
          <w:szCs w:val="16"/>
        </w:rPr>
      </w:pPr>
      <w:r w:rsidRPr="00674FD8">
        <w:rPr>
          <w:rStyle w:val="FootnoteReference"/>
          <w:rFonts w:ascii="Times New Roman" w:hAnsi="Times New Roman" w:cs="Times New Roman"/>
          <w:sz w:val="16"/>
          <w:szCs w:val="16"/>
        </w:rPr>
        <w:footnoteRef/>
      </w:r>
      <w:r w:rsidRPr="00674FD8">
        <w:rPr>
          <w:rFonts w:ascii="Times New Roman" w:hAnsi="Times New Roman" w:cs="Times New Roman"/>
          <w:sz w:val="16"/>
          <w:szCs w:val="16"/>
        </w:rPr>
        <w:t xml:space="preserve"> </w:t>
      </w:r>
      <w:r w:rsidRPr="00674FD8">
        <w:rPr>
          <w:rFonts w:ascii="Times New Roman" w:hAnsi="Times New Roman" w:cs="Times New Roman"/>
          <w:sz w:val="16"/>
          <w:szCs w:val="16"/>
        </w:rPr>
        <w:t>Trilog to popularna nazwa wprowadzonego nowego trybu negocjacji kształtu WPR na lata 2014-2020 przez trzy podmioty: Komisję Europejską, Parlament Europejski i Radę Europejską.</w:t>
      </w:r>
    </w:p>
  </w:footnote>
  <w:footnote w:id="9">
    <w:p w14:paraId="12662E2E" w14:textId="23E04EC5" w:rsidR="002E3D5D" w:rsidRPr="00674FD8" w:rsidRDefault="002E3D5D" w:rsidP="00674FD8">
      <w:pPr>
        <w:pStyle w:val="FootnoteText"/>
        <w:jc w:val="both"/>
        <w:rPr>
          <w:rFonts w:ascii="Times New Roman" w:hAnsi="Times New Roman" w:cs="Times New Roman"/>
          <w:sz w:val="16"/>
          <w:szCs w:val="16"/>
        </w:rPr>
      </w:pPr>
      <w:r w:rsidRPr="00674FD8">
        <w:rPr>
          <w:rStyle w:val="FootnoteReference"/>
          <w:rFonts w:ascii="Times New Roman" w:hAnsi="Times New Roman" w:cs="Times New Roman"/>
          <w:sz w:val="16"/>
          <w:szCs w:val="16"/>
        </w:rPr>
        <w:footnoteRef/>
      </w:r>
      <w:r w:rsidR="00674FD8">
        <w:rPr>
          <w:rFonts w:ascii="Times New Roman" w:hAnsi="Times New Roman" w:cs="Times New Roman"/>
          <w:sz w:val="16"/>
          <w:szCs w:val="16"/>
        </w:rPr>
        <w:t xml:space="preserve"> </w:t>
      </w:r>
      <w:r w:rsidR="00674FD8">
        <w:rPr>
          <w:rFonts w:ascii="Times New Roman" w:hAnsi="Times New Roman" w:cs="Times New Roman"/>
          <w:sz w:val="16"/>
          <w:szCs w:val="16"/>
        </w:rPr>
        <w:t xml:space="preserve">Jak wskazuja wyniki bdan polskiego FADN </w:t>
      </w:r>
      <w:r w:rsidRPr="00674FD8">
        <w:rPr>
          <w:rFonts w:ascii="Times New Roman" w:hAnsi="Times New Roman" w:cs="Times New Roman"/>
          <w:sz w:val="16"/>
          <w:szCs w:val="16"/>
        </w:rPr>
        <w:t xml:space="preserve"> ponad 700 tys. gospodarstw rolnych w Polsce nie uzyskuje z rolnictwa dochodu parytetowego.</w:t>
      </w:r>
    </w:p>
  </w:footnote>
  <w:footnote w:id="10">
    <w:p w14:paraId="03D686EE" w14:textId="5678DB27" w:rsidR="001A167E" w:rsidRPr="00180B72" w:rsidRDefault="001A167E" w:rsidP="001A167E">
      <w:pPr>
        <w:pStyle w:val="FootnoteText"/>
        <w:jc w:val="both"/>
        <w:rPr>
          <w:rFonts w:ascii="Times New Roman" w:hAnsi="Times New Roman" w:cs="Times New Roman"/>
        </w:rPr>
      </w:pPr>
      <w:r w:rsidRPr="00180B72">
        <w:rPr>
          <w:rStyle w:val="FootnoteReference"/>
          <w:rFonts w:ascii="Times New Roman" w:hAnsi="Times New Roman" w:cs="Times New Roman"/>
        </w:rPr>
        <w:footnoteRef/>
      </w:r>
      <w:r w:rsidRPr="00180B72">
        <w:rPr>
          <w:rFonts w:ascii="Times New Roman" w:hAnsi="Times New Roman" w:cs="Times New Roman"/>
        </w:rPr>
        <w:t>Według Financial Times, Międzynarodowy Fundusz Walutowy szac</w:t>
      </w:r>
      <w:r w:rsidR="00180B72" w:rsidRPr="00180B72">
        <w:rPr>
          <w:rFonts w:ascii="Times New Roman" w:hAnsi="Times New Roman" w:cs="Times New Roman"/>
        </w:rPr>
        <w:t>ował światowe zadłużenie</w:t>
      </w:r>
      <w:r w:rsidRPr="00180B72">
        <w:rPr>
          <w:rFonts w:ascii="Times New Roman" w:hAnsi="Times New Roman" w:cs="Times New Roman"/>
        </w:rPr>
        <w:t xml:space="preserve"> w 2015 r. na około 152 biliony USD, co stanowi 225% rocznego</w:t>
      </w:r>
      <w:r w:rsidR="00180B72" w:rsidRPr="00180B72">
        <w:rPr>
          <w:rFonts w:ascii="Times New Roman" w:hAnsi="Times New Roman" w:cs="Times New Roman"/>
        </w:rPr>
        <w:t xml:space="preserve"> światowego</w:t>
      </w:r>
      <w:r w:rsidRPr="00180B72">
        <w:rPr>
          <w:rFonts w:ascii="Times New Roman" w:hAnsi="Times New Roman" w:cs="Times New Roman"/>
        </w:rPr>
        <w:t xml:space="preserve"> PKB.</w:t>
      </w:r>
    </w:p>
  </w:footnote>
  <w:footnote w:id="11">
    <w:p w14:paraId="58030544" w14:textId="77777777" w:rsidR="001A167E" w:rsidRDefault="001A167E" w:rsidP="001A167E">
      <w:pPr>
        <w:pStyle w:val="FootnoteText"/>
        <w:jc w:val="both"/>
      </w:pPr>
      <w:r>
        <w:rPr>
          <w:rStyle w:val="FootnoteReference"/>
        </w:rPr>
        <w:footnoteRef/>
      </w:r>
      <w:r>
        <w:t xml:space="preserve"> </w:t>
      </w:r>
      <w:r w:rsidRPr="00BF6E68">
        <w:rPr>
          <w:rFonts w:ascii="Times New Roman" w:hAnsi="Times New Roman" w:cs="Times New Roman"/>
        </w:rPr>
        <w:t>Instrumenty finansowe to szeroka paleta możliwości wsparcia dla sektora rolnego. Ich racjonalne i rozważne wdrożenie może stać się jednym z motorów rozwoju rolnictwa i zapewnienia rolnikom stabilnych dochodów. Jednakże muszą być wprowadzane rozważnie i stopniowo oraz zależeć od uwarunkowań wewnętrznych każdego z krajów członkowskich, w tym występowania tzw. luki finansowej uniemożliwiającej wsparcie finansowe większej liczby efektywnych projektów</w:t>
      </w:r>
    </w:p>
  </w:footnote>
  <w:footnote w:id="12">
    <w:p w14:paraId="0E203898" w14:textId="0E650ADA" w:rsidR="003B29D0" w:rsidRPr="007D063C" w:rsidRDefault="003B29D0" w:rsidP="007D063C">
      <w:pPr>
        <w:pStyle w:val="FootnoteText"/>
        <w:jc w:val="both"/>
        <w:rPr>
          <w:rFonts w:ascii="Times New Roman" w:hAnsi="Times New Roman" w:cs="Times New Roman"/>
          <w:sz w:val="16"/>
          <w:szCs w:val="16"/>
        </w:rPr>
      </w:pPr>
      <w:r>
        <w:rPr>
          <w:rStyle w:val="FootnoteReference"/>
        </w:rPr>
        <w:footnoteRef/>
      </w:r>
      <w:r w:rsidRPr="003B29D0">
        <w:t xml:space="preserve"> </w:t>
      </w:r>
      <w:r w:rsidR="007D063C">
        <w:rPr>
          <w:rFonts w:ascii="Times New Roman" w:hAnsi="Times New Roman" w:cs="Times New Roman"/>
          <w:sz w:val="16"/>
          <w:szCs w:val="16"/>
        </w:rPr>
        <w:t>Wariant,</w:t>
      </w:r>
      <w:r w:rsidRPr="007D063C">
        <w:rPr>
          <w:rFonts w:ascii="Times New Roman" w:hAnsi="Times New Roman" w:cs="Times New Roman"/>
          <w:sz w:val="16"/>
          <w:szCs w:val="16"/>
        </w:rPr>
        <w:t xml:space="preserve"> choć  niezgodny z Traktatem</w:t>
      </w:r>
      <w:r w:rsidR="007D063C">
        <w:rPr>
          <w:rFonts w:ascii="Times New Roman" w:hAnsi="Times New Roman" w:cs="Times New Roman"/>
          <w:sz w:val="16"/>
          <w:szCs w:val="16"/>
        </w:rPr>
        <w:t>, w</w:t>
      </w:r>
      <w:r w:rsidRPr="007D063C">
        <w:rPr>
          <w:rFonts w:ascii="Times New Roman" w:hAnsi="Times New Roman" w:cs="Times New Roman"/>
          <w:sz w:val="16"/>
          <w:szCs w:val="16"/>
        </w:rPr>
        <w:t xml:space="preserve"> przyjętym założeniu jest punkt</w:t>
      </w:r>
      <w:r w:rsidR="007D063C">
        <w:rPr>
          <w:rFonts w:ascii="Times New Roman" w:hAnsi="Times New Roman" w:cs="Times New Roman"/>
          <w:sz w:val="16"/>
          <w:szCs w:val="16"/>
        </w:rPr>
        <w:t>em</w:t>
      </w:r>
      <w:r w:rsidRPr="007D063C">
        <w:rPr>
          <w:rFonts w:ascii="Times New Roman" w:hAnsi="Times New Roman" w:cs="Times New Roman"/>
          <w:sz w:val="16"/>
          <w:szCs w:val="16"/>
        </w:rPr>
        <w:t xml:space="preserve"> odniesienia dla wartościowania pozostałych analizowanych wariantów polityki.</w:t>
      </w:r>
    </w:p>
  </w:footnote>
  <w:footnote w:id="13">
    <w:p w14:paraId="756236DC" w14:textId="5A54219C" w:rsidR="00316BA3" w:rsidRPr="007D063C" w:rsidRDefault="00316BA3" w:rsidP="007D063C">
      <w:pPr>
        <w:pStyle w:val="Default"/>
        <w:jc w:val="both"/>
        <w:rPr>
          <w:sz w:val="16"/>
          <w:szCs w:val="16"/>
          <w:lang w:val="en-US"/>
        </w:rPr>
      </w:pPr>
      <w:r w:rsidRPr="007D063C">
        <w:rPr>
          <w:rStyle w:val="FootnoteReference"/>
          <w:i/>
          <w:sz w:val="16"/>
          <w:szCs w:val="16"/>
        </w:rPr>
        <w:footnoteRef/>
      </w:r>
      <w:r w:rsidRPr="007D063C">
        <w:rPr>
          <w:bCs/>
          <w:i/>
          <w:sz w:val="16"/>
          <w:szCs w:val="16"/>
        </w:rPr>
        <w:t>Modernising and Simplifying the Common Agricultural Policy</w:t>
      </w:r>
      <w:r w:rsidRPr="007D063C">
        <w:rPr>
          <w:b/>
          <w:bCs/>
          <w:sz w:val="16"/>
          <w:szCs w:val="16"/>
        </w:rPr>
        <w:t xml:space="preserve"> </w:t>
      </w:r>
      <w:r w:rsidRPr="007D063C">
        <w:rPr>
          <w:sz w:val="16"/>
          <w:szCs w:val="16"/>
          <w:lang w:val="en-US"/>
        </w:rPr>
        <w:t>https://ec.europa.eu/agriculture/sites/agriculture/files/consultations/cap-modernising/highlights-public-consul_en.pdf</w:t>
      </w:r>
    </w:p>
  </w:footnote>
  <w:footnote w:id="14">
    <w:p w14:paraId="3445A786" w14:textId="2FF3CB1D" w:rsidR="00001ACB" w:rsidRPr="00A37BE9" w:rsidRDefault="00001ACB" w:rsidP="00BF6E68">
      <w:pPr>
        <w:jc w:val="both"/>
      </w:pPr>
      <w:r w:rsidRPr="003F2F85">
        <w:rPr>
          <w:rStyle w:val="FootnoteReference"/>
          <w:rFonts w:ascii="Times New Roman" w:hAnsi="Times New Roman" w:cs="Times New Roman"/>
          <w:sz w:val="20"/>
          <w:szCs w:val="20"/>
        </w:rPr>
        <w:footnoteRef/>
      </w:r>
      <w:r w:rsidRPr="003F2F85">
        <w:rPr>
          <w:rFonts w:ascii="Times New Roman" w:hAnsi="Times New Roman" w:cs="Times New Roman"/>
          <w:sz w:val="20"/>
          <w:szCs w:val="20"/>
        </w:rPr>
        <w:t xml:space="preserve">Notatka informacyjna. Sytuacja rozporządzenia OMNIBUS i </w:t>
      </w:r>
      <w:r w:rsidRPr="003F2F85">
        <w:rPr>
          <w:rFonts w:ascii="Times New Roman" w:hAnsi="Times New Roman" w:cs="Times New Roman"/>
          <w:sz w:val="20"/>
          <w:szCs w:val="20"/>
        </w:rPr>
        <w:t>przyszłej WPR, COPA–C</w:t>
      </w:r>
      <w:r w:rsidRPr="00B34604">
        <w:rPr>
          <w:rFonts w:ascii="Times New Roman" w:hAnsi="Times New Roman" w:cs="Times New Roman"/>
          <w:sz w:val="20"/>
          <w:szCs w:val="20"/>
        </w:rPr>
        <w:t xml:space="preserve">OGECA, </w:t>
      </w:r>
      <w:r w:rsidRPr="003F2F85">
        <w:rPr>
          <w:rFonts w:ascii="Times New Roman" w:hAnsi="Times New Roman" w:cs="Times New Roman"/>
          <w:sz w:val="20"/>
          <w:szCs w:val="20"/>
        </w:rPr>
        <w:fldChar w:fldCharType="begin"/>
      </w:r>
      <w:r w:rsidRPr="003F2F85">
        <w:rPr>
          <w:rFonts w:ascii="Times New Roman" w:hAnsi="Times New Roman" w:cs="Times New Roman"/>
          <w:sz w:val="20"/>
          <w:szCs w:val="20"/>
        </w:rPr>
        <w:instrText xml:space="preserve"> DOCPROPERTY  PWThreadMemo  \* MERGEFORMAT </w:instrText>
      </w:r>
      <w:r w:rsidRPr="003F2F85">
        <w:rPr>
          <w:rFonts w:ascii="Times New Roman" w:hAnsi="Times New Roman" w:cs="Times New Roman"/>
          <w:sz w:val="20"/>
          <w:szCs w:val="20"/>
        </w:rPr>
        <w:fldChar w:fldCharType="separate"/>
      </w:r>
      <w:r w:rsidRPr="003F2F85">
        <w:rPr>
          <w:rFonts w:ascii="Times New Roman" w:hAnsi="Times New Roman" w:cs="Times New Roman"/>
          <w:sz w:val="20"/>
          <w:szCs w:val="20"/>
        </w:rPr>
        <w:t>PAC(17)</w:t>
      </w:r>
      <w:r w:rsidR="00F1343A" w:rsidRPr="003F2F85">
        <w:rPr>
          <w:rFonts w:ascii="Times New Roman" w:hAnsi="Times New Roman" w:cs="Times New Roman"/>
          <w:sz w:val="20"/>
          <w:szCs w:val="20"/>
        </w:rPr>
        <w:t xml:space="preserve"> </w:t>
      </w:r>
      <w:r w:rsidRPr="00B34604">
        <w:rPr>
          <w:rFonts w:ascii="Times New Roman" w:hAnsi="Times New Roman" w:cs="Times New Roman"/>
          <w:sz w:val="20"/>
          <w:szCs w:val="20"/>
        </w:rPr>
        <w:t>4530:2</w:t>
      </w:r>
      <w:r w:rsidRPr="003F2F85">
        <w:rPr>
          <w:rFonts w:ascii="Times New Roman" w:hAnsi="Times New Roman" w:cs="Times New Roman"/>
          <w:sz w:val="20"/>
          <w:szCs w:val="20"/>
        </w:rPr>
        <w:fldChar w:fldCharType="end"/>
      </w:r>
      <w:r w:rsidRPr="003F2F85">
        <w:rPr>
          <w:rFonts w:ascii="Times New Roman" w:hAnsi="Times New Roman" w:cs="Times New Roman"/>
          <w:sz w:val="20"/>
          <w:szCs w:val="20"/>
        </w:rPr>
        <w:t>-PG/sd, Bruksela, 12 czerwca 2017 roku.</w:t>
      </w:r>
      <w:r w:rsidR="00B34604" w:rsidRPr="003F2F85" w:rsidDel="00B34604">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15FE2"/>
    <w:multiLevelType w:val="hybridMultilevel"/>
    <w:tmpl w:val="78F4C0C6"/>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C77B8D"/>
    <w:multiLevelType w:val="hybridMultilevel"/>
    <w:tmpl w:val="5C2691DC"/>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F5850C7"/>
    <w:multiLevelType w:val="hybridMultilevel"/>
    <w:tmpl w:val="534ACB7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13E85793"/>
    <w:multiLevelType w:val="hybridMultilevel"/>
    <w:tmpl w:val="AFE440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094E99"/>
    <w:multiLevelType w:val="hybridMultilevel"/>
    <w:tmpl w:val="28A48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2F4205B"/>
    <w:multiLevelType w:val="multilevel"/>
    <w:tmpl w:val="0646FBA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25671BAB"/>
    <w:multiLevelType w:val="hybridMultilevel"/>
    <w:tmpl w:val="DF382C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BD3E94"/>
    <w:multiLevelType w:val="hybridMultilevel"/>
    <w:tmpl w:val="F3AA45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956DA3"/>
    <w:multiLevelType w:val="multilevel"/>
    <w:tmpl w:val="A1A6E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BD344A"/>
    <w:multiLevelType w:val="hybridMultilevel"/>
    <w:tmpl w:val="595483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DE467B"/>
    <w:multiLevelType w:val="hybridMultilevel"/>
    <w:tmpl w:val="2836F2A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40DE484A"/>
    <w:multiLevelType w:val="hybridMultilevel"/>
    <w:tmpl w:val="34A27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CC378B"/>
    <w:multiLevelType w:val="hybridMultilevel"/>
    <w:tmpl w:val="290ACB6E"/>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3" w15:restartNumberingAfterBreak="0">
    <w:nsid w:val="69E82D61"/>
    <w:multiLevelType w:val="multilevel"/>
    <w:tmpl w:val="30523E42"/>
    <w:lvl w:ilvl="0">
      <w:start w:val="1"/>
      <w:numFmt w:val="decimal"/>
      <w:lvlText w:val="%1."/>
      <w:lvlJc w:val="left"/>
      <w:pPr>
        <w:ind w:left="720" w:hanging="360"/>
      </w:pPr>
      <w:rPr>
        <w:rFonts w:ascii="Arial" w:eastAsiaTheme="minorHAnsi" w:hAnsi="Arial" w:cs="Arial"/>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7CA1069D"/>
    <w:multiLevelType w:val="hybridMultilevel"/>
    <w:tmpl w:val="E5208C2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4"/>
  </w:num>
  <w:num w:numId="5">
    <w:abstractNumId w:val="12"/>
  </w:num>
  <w:num w:numId="6">
    <w:abstractNumId w:val="14"/>
  </w:num>
  <w:num w:numId="7">
    <w:abstractNumId w:val="10"/>
  </w:num>
  <w:num w:numId="8">
    <w:abstractNumId w:val="13"/>
  </w:num>
  <w:num w:numId="9">
    <w:abstractNumId w:val="11"/>
  </w:num>
  <w:num w:numId="10">
    <w:abstractNumId w:val="8"/>
  </w:num>
  <w:num w:numId="11">
    <w:abstractNumId w:val="6"/>
  </w:num>
  <w:num w:numId="12">
    <w:abstractNumId w:val="3"/>
  </w:num>
  <w:num w:numId="13">
    <w:abstractNumId w:val="2"/>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67E"/>
    <w:rsid w:val="00001ACB"/>
    <w:rsid w:val="000043D8"/>
    <w:rsid w:val="00015DFA"/>
    <w:rsid w:val="00043126"/>
    <w:rsid w:val="00094329"/>
    <w:rsid w:val="000946B1"/>
    <w:rsid w:val="000A74D9"/>
    <w:rsid w:val="000E11AC"/>
    <w:rsid w:val="000E1986"/>
    <w:rsid w:val="00100FB3"/>
    <w:rsid w:val="00106FAA"/>
    <w:rsid w:val="00107D10"/>
    <w:rsid w:val="001428D9"/>
    <w:rsid w:val="0014523D"/>
    <w:rsid w:val="00180B72"/>
    <w:rsid w:val="00193B5E"/>
    <w:rsid w:val="00194A3C"/>
    <w:rsid w:val="001A167E"/>
    <w:rsid w:val="001B09BB"/>
    <w:rsid w:val="001B5083"/>
    <w:rsid w:val="001E6A35"/>
    <w:rsid w:val="001F1B85"/>
    <w:rsid w:val="002122DA"/>
    <w:rsid w:val="00217DAB"/>
    <w:rsid w:val="00221365"/>
    <w:rsid w:val="00230C46"/>
    <w:rsid w:val="00292719"/>
    <w:rsid w:val="002B073F"/>
    <w:rsid w:val="002B0857"/>
    <w:rsid w:val="002C5FBD"/>
    <w:rsid w:val="002E3D5D"/>
    <w:rsid w:val="003116DB"/>
    <w:rsid w:val="0031203C"/>
    <w:rsid w:val="00316BA3"/>
    <w:rsid w:val="00346C8B"/>
    <w:rsid w:val="0034798B"/>
    <w:rsid w:val="003546D8"/>
    <w:rsid w:val="00366797"/>
    <w:rsid w:val="003B29D0"/>
    <w:rsid w:val="003B77FF"/>
    <w:rsid w:val="003F2F85"/>
    <w:rsid w:val="00460D1A"/>
    <w:rsid w:val="0047211C"/>
    <w:rsid w:val="004A323E"/>
    <w:rsid w:val="004D06D9"/>
    <w:rsid w:val="005020E4"/>
    <w:rsid w:val="00521F33"/>
    <w:rsid w:val="005235DC"/>
    <w:rsid w:val="00525FA3"/>
    <w:rsid w:val="00536A0E"/>
    <w:rsid w:val="00561595"/>
    <w:rsid w:val="005963C0"/>
    <w:rsid w:val="005D09D7"/>
    <w:rsid w:val="005E2699"/>
    <w:rsid w:val="00646D2A"/>
    <w:rsid w:val="0065528A"/>
    <w:rsid w:val="00674FD8"/>
    <w:rsid w:val="006825C3"/>
    <w:rsid w:val="006C3DC9"/>
    <w:rsid w:val="006D58B8"/>
    <w:rsid w:val="00717032"/>
    <w:rsid w:val="00734B0B"/>
    <w:rsid w:val="00755D68"/>
    <w:rsid w:val="00787C25"/>
    <w:rsid w:val="007D063C"/>
    <w:rsid w:val="007E2F54"/>
    <w:rsid w:val="007F7ED7"/>
    <w:rsid w:val="00825E78"/>
    <w:rsid w:val="008849F1"/>
    <w:rsid w:val="008C0ABB"/>
    <w:rsid w:val="008C2671"/>
    <w:rsid w:val="008D644E"/>
    <w:rsid w:val="008E3B98"/>
    <w:rsid w:val="009524E5"/>
    <w:rsid w:val="009671D3"/>
    <w:rsid w:val="009A2F1B"/>
    <w:rsid w:val="009A4BEC"/>
    <w:rsid w:val="009B3B64"/>
    <w:rsid w:val="009D70EC"/>
    <w:rsid w:val="00A21578"/>
    <w:rsid w:val="00A65BB2"/>
    <w:rsid w:val="00A745B8"/>
    <w:rsid w:val="00B15925"/>
    <w:rsid w:val="00B27123"/>
    <w:rsid w:val="00B34604"/>
    <w:rsid w:val="00B560F8"/>
    <w:rsid w:val="00B701CE"/>
    <w:rsid w:val="00B773F7"/>
    <w:rsid w:val="00BD42AC"/>
    <w:rsid w:val="00BD659C"/>
    <w:rsid w:val="00BF4EF6"/>
    <w:rsid w:val="00BF6E68"/>
    <w:rsid w:val="00C046EF"/>
    <w:rsid w:val="00C60F96"/>
    <w:rsid w:val="00C87342"/>
    <w:rsid w:val="00C9536D"/>
    <w:rsid w:val="00CD7C59"/>
    <w:rsid w:val="00CE46C2"/>
    <w:rsid w:val="00DD7B95"/>
    <w:rsid w:val="00DE1E80"/>
    <w:rsid w:val="00E1127D"/>
    <w:rsid w:val="00E459D5"/>
    <w:rsid w:val="00E624F8"/>
    <w:rsid w:val="00E72716"/>
    <w:rsid w:val="00E733C1"/>
    <w:rsid w:val="00EB779C"/>
    <w:rsid w:val="00EC77F8"/>
    <w:rsid w:val="00EF1492"/>
    <w:rsid w:val="00EF7183"/>
    <w:rsid w:val="00F039DD"/>
    <w:rsid w:val="00F04148"/>
    <w:rsid w:val="00F1343A"/>
    <w:rsid w:val="00F50C7F"/>
    <w:rsid w:val="00FA0079"/>
    <w:rsid w:val="00FA7F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BACA"/>
  <w15:docId w15:val="{AC877647-02CB-4CEA-819B-08185245C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167E"/>
  </w:style>
  <w:style w:type="paragraph" w:styleId="Heading2">
    <w:name w:val="heading 2"/>
    <w:basedOn w:val="Normal"/>
    <w:link w:val="Heading2Char"/>
    <w:uiPriority w:val="9"/>
    <w:qFormat/>
    <w:rsid w:val="000E11AC"/>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67E"/>
    <w:pPr>
      <w:ind w:left="720"/>
      <w:contextualSpacing/>
    </w:pPr>
  </w:style>
  <w:style w:type="paragraph" w:styleId="FootnoteText">
    <w:name w:val="footnote text"/>
    <w:basedOn w:val="Normal"/>
    <w:link w:val="FootnoteTextChar"/>
    <w:uiPriority w:val="99"/>
    <w:unhideWhenUsed/>
    <w:rsid w:val="001A167E"/>
    <w:pPr>
      <w:spacing w:after="0" w:line="240" w:lineRule="auto"/>
    </w:pPr>
    <w:rPr>
      <w:sz w:val="20"/>
      <w:szCs w:val="20"/>
    </w:rPr>
  </w:style>
  <w:style w:type="character" w:customStyle="1" w:styleId="FootnoteTextChar">
    <w:name w:val="Footnote Text Char"/>
    <w:basedOn w:val="DefaultParagraphFont"/>
    <w:link w:val="FootnoteText"/>
    <w:uiPriority w:val="99"/>
    <w:rsid w:val="001A167E"/>
    <w:rPr>
      <w:sz w:val="20"/>
      <w:szCs w:val="20"/>
    </w:rPr>
  </w:style>
  <w:style w:type="character" w:styleId="FootnoteReference">
    <w:name w:val="footnote reference"/>
    <w:basedOn w:val="DefaultParagraphFont"/>
    <w:uiPriority w:val="99"/>
    <w:semiHidden/>
    <w:unhideWhenUsed/>
    <w:rsid w:val="001A167E"/>
    <w:rPr>
      <w:vertAlign w:val="superscript"/>
    </w:rPr>
  </w:style>
  <w:style w:type="paragraph" w:styleId="NormalWeb">
    <w:name w:val="Normal (Web)"/>
    <w:basedOn w:val="Normal"/>
    <w:uiPriority w:val="99"/>
    <w:unhideWhenUsed/>
    <w:rsid w:val="001A167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CommentReference">
    <w:name w:val="annotation reference"/>
    <w:basedOn w:val="DefaultParagraphFont"/>
    <w:uiPriority w:val="99"/>
    <w:semiHidden/>
    <w:unhideWhenUsed/>
    <w:rsid w:val="001A167E"/>
    <w:rPr>
      <w:sz w:val="16"/>
      <w:szCs w:val="16"/>
    </w:rPr>
  </w:style>
  <w:style w:type="paragraph" w:styleId="CommentText">
    <w:name w:val="annotation text"/>
    <w:basedOn w:val="Normal"/>
    <w:link w:val="CommentTextChar"/>
    <w:uiPriority w:val="99"/>
    <w:semiHidden/>
    <w:unhideWhenUsed/>
    <w:rsid w:val="001A167E"/>
    <w:pPr>
      <w:spacing w:line="240" w:lineRule="auto"/>
    </w:pPr>
    <w:rPr>
      <w:sz w:val="20"/>
      <w:szCs w:val="20"/>
    </w:rPr>
  </w:style>
  <w:style w:type="character" w:customStyle="1" w:styleId="CommentTextChar">
    <w:name w:val="Comment Text Char"/>
    <w:basedOn w:val="DefaultParagraphFont"/>
    <w:link w:val="CommentText"/>
    <w:uiPriority w:val="99"/>
    <w:semiHidden/>
    <w:rsid w:val="001A167E"/>
    <w:rPr>
      <w:sz w:val="20"/>
      <w:szCs w:val="20"/>
    </w:rPr>
  </w:style>
  <w:style w:type="paragraph" w:customStyle="1" w:styleId="Normln">
    <w:name w:val="Normální"/>
    <w:rsid w:val="001A167E"/>
    <w:pPr>
      <w:suppressAutoHyphens/>
      <w:autoSpaceDN w:val="0"/>
      <w:spacing w:after="160" w:line="240" w:lineRule="auto"/>
      <w:textAlignment w:val="baseline"/>
    </w:pPr>
    <w:rPr>
      <w:rFonts w:ascii="Calibri" w:eastAsia="Calibri" w:hAnsi="Calibri" w:cs="Times New Roman"/>
      <w:lang w:eastAsia="pl-PL" w:bidi="pl-PL"/>
    </w:rPr>
  </w:style>
  <w:style w:type="paragraph" w:styleId="BalloonText">
    <w:name w:val="Balloon Text"/>
    <w:basedOn w:val="Normal"/>
    <w:link w:val="BalloonTextChar"/>
    <w:uiPriority w:val="99"/>
    <w:semiHidden/>
    <w:unhideWhenUsed/>
    <w:rsid w:val="001A16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67E"/>
    <w:rPr>
      <w:rFonts w:ascii="Tahoma" w:hAnsi="Tahoma" w:cs="Tahoma"/>
      <w:sz w:val="16"/>
      <w:szCs w:val="16"/>
    </w:rPr>
  </w:style>
  <w:style w:type="character" w:customStyle="1" w:styleId="Heading2Char">
    <w:name w:val="Heading 2 Char"/>
    <w:basedOn w:val="DefaultParagraphFont"/>
    <w:link w:val="Heading2"/>
    <w:uiPriority w:val="9"/>
    <w:rsid w:val="000E11AC"/>
    <w:rPr>
      <w:rFonts w:ascii="Times New Roman" w:eastAsia="Times New Roman" w:hAnsi="Times New Roman" w:cs="Times New Roman"/>
      <w:b/>
      <w:bCs/>
      <w:sz w:val="36"/>
      <w:szCs w:val="36"/>
      <w:lang w:val="en-GB" w:eastAsia="en-GB"/>
    </w:rPr>
  </w:style>
  <w:style w:type="paragraph" w:customStyle="1" w:styleId="Default">
    <w:name w:val="Default"/>
    <w:rsid w:val="00316BA3"/>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CommentSubject">
    <w:name w:val="annotation subject"/>
    <w:basedOn w:val="CommentText"/>
    <w:next w:val="CommentText"/>
    <w:link w:val="CommentSubjectChar"/>
    <w:uiPriority w:val="99"/>
    <w:semiHidden/>
    <w:unhideWhenUsed/>
    <w:rsid w:val="00E624F8"/>
    <w:rPr>
      <w:b/>
      <w:bCs/>
    </w:rPr>
  </w:style>
  <w:style w:type="character" w:customStyle="1" w:styleId="CommentSubjectChar">
    <w:name w:val="Comment Subject Char"/>
    <w:basedOn w:val="CommentTextChar"/>
    <w:link w:val="CommentSubject"/>
    <w:uiPriority w:val="99"/>
    <w:semiHidden/>
    <w:rsid w:val="00E624F8"/>
    <w:rPr>
      <w:b/>
      <w:bCs/>
      <w:sz w:val="20"/>
      <w:szCs w:val="20"/>
    </w:rPr>
  </w:style>
  <w:style w:type="character" w:styleId="Hyperlink">
    <w:name w:val="Hyperlink"/>
    <w:basedOn w:val="DefaultParagraphFont"/>
    <w:uiPriority w:val="99"/>
    <w:unhideWhenUsed/>
    <w:rsid w:val="003479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899516">
      <w:bodyDiv w:val="1"/>
      <w:marLeft w:val="0"/>
      <w:marRight w:val="0"/>
      <w:marTop w:val="0"/>
      <w:marBottom w:val="0"/>
      <w:divBdr>
        <w:top w:val="none" w:sz="0" w:space="0" w:color="auto"/>
        <w:left w:val="none" w:sz="0" w:space="0" w:color="auto"/>
        <w:bottom w:val="none" w:sz="0" w:space="0" w:color="auto"/>
        <w:right w:val="none" w:sz="0" w:space="0" w:color="auto"/>
      </w:divBdr>
    </w:div>
    <w:div w:id="878275436">
      <w:bodyDiv w:val="1"/>
      <w:marLeft w:val="0"/>
      <w:marRight w:val="0"/>
      <w:marTop w:val="0"/>
      <w:marBottom w:val="0"/>
      <w:divBdr>
        <w:top w:val="none" w:sz="0" w:space="0" w:color="auto"/>
        <w:left w:val="none" w:sz="0" w:space="0" w:color="auto"/>
        <w:bottom w:val="none" w:sz="0" w:space="0" w:color="auto"/>
        <w:right w:val="none" w:sz="0" w:space="0" w:color="auto"/>
      </w:divBdr>
    </w:div>
    <w:div w:id="1098015523">
      <w:bodyDiv w:val="1"/>
      <w:marLeft w:val="0"/>
      <w:marRight w:val="0"/>
      <w:marTop w:val="0"/>
      <w:marBottom w:val="0"/>
      <w:divBdr>
        <w:top w:val="none" w:sz="0" w:space="0" w:color="auto"/>
        <w:left w:val="none" w:sz="0" w:space="0" w:color="auto"/>
        <w:bottom w:val="none" w:sz="0" w:space="0" w:color="auto"/>
        <w:right w:val="none" w:sz="0" w:space="0" w:color="auto"/>
      </w:divBdr>
    </w:div>
    <w:div w:id="150072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smart-regulation/roadmaps/docs/2017_agri_001_cap_modernisation_en.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2020.eu/author/adm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roparl.europa.eu/sides/getDoc.do?pubRef=-//EP//TEXT+REPORT+A7-2011-0202+0+DOC+XML+V0//EN" TargetMode="External"/><Relationship Id="rId5" Type="http://schemas.openxmlformats.org/officeDocument/2006/relationships/webSettings" Target="webSettings.xml"/><Relationship Id="rId10" Type="http://schemas.openxmlformats.org/officeDocument/2006/relationships/hyperlink" Target="https://ec.europa.eu/agriculture/sites/agriculture/files/consultations/cap-modernising/highlights-public-consul_en.pdf" TargetMode="External"/><Relationship Id="rId4" Type="http://schemas.openxmlformats.org/officeDocument/2006/relationships/settings" Target="settings.xml"/><Relationship Id="rId9" Type="http://schemas.openxmlformats.org/officeDocument/2006/relationships/hyperlink" Target="http://www.cap2020.ieep.eu/2015/6/10/keep-chewing-this-bone-a-trickle-of-ideas-on-a-future-ca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FCDA3F-F418-4244-9423-B26D6C6CE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4928</Words>
  <Characters>28096</Characters>
  <Application>Microsoft Office Word</Application>
  <DocSecurity>0</DocSecurity>
  <Lines>234</Lines>
  <Paragraphs>65</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Microsoft</Company>
  <LinksUpToDate>false</LinksUpToDate>
  <CharactersWithSpaces>32959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Iwonka</dc:creator>
  <cp:lastModifiedBy>Iwona Nurzynska</cp:lastModifiedBy>
  <cp:revision>2</cp:revision>
  <dcterms:created xsi:type="dcterms:W3CDTF">2018-01-22T09:33:00Z</dcterms:created>
  <dcterms:modified xsi:type="dcterms:W3CDTF">2018-01-22T09:33:00Z</dcterms:modified>
</cp:coreProperties>
</file>