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0C" w:rsidRPr="00BE58AA" w:rsidRDefault="00C07077" w:rsidP="003F360C">
      <w:pPr>
        <w:rPr>
          <w:b/>
        </w:rPr>
      </w:pPr>
      <w:bookmarkStart w:id="0" w:name="_GoBack"/>
      <w:bookmarkEnd w:id="0"/>
      <w:r>
        <w:t>31</w:t>
      </w:r>
      <w:r w:rsidR="00BB286C">
        <w:t>.05.2021 r.</w:t>
      </w:r>
    </w:p>
    <w:p w:rsidR="003F360C" w:rsidRPr="00BE58AA" w:rsidRDefault="00C07077" w:rsidP="003F360C">
      <w:pPr>
        <w:pStyle w:val="Headline"/>
        <w:rPr>
          <w:sz w:val="47"/>
          <w:szCs w:val="47"/>
        </w:rPr>
      </w:pPr>
      <w:r>
        <w:rPr>
          <w:sz w:val="47"/>
          <w:szCs w:val="47"/>
        </w:rPr>
        <w:t>Wsp</w:t>
      </w:r>
      <w:r w:rsidRPr="00C07077">
        <w:rPr>
          <w:sz w:val="47"/>
          <w:szCs w:val="47"/>
        </w:rPr>
        <w:t>ó</w:t>
      </w:r>
      <w:r>
        <w:rPr>
          <w:sz w:val="47"/>
          <w:szCs w:val="47"/>
        </w:rPr>
        <w:t>lny k</w:t>
      </w:r>
      <w:r w:rsidR="003F360C">
        <w:rPr>
          <w:sz w:val="47"/>
          <w:szCs w:val="47"/>
        </w:rPr>
        <w:t>omunikat prasowy</w:t>
      </w:r>
    </w:p>
    <w:p w:rsidR="00BB286C" w:rsidRPr="00C07077" w:rsidRDefault="00BB286C" w:rsidP="00BB286C">
      <w:pPr>
        <w:pStyle w:val="Subheadline"/>
        <w:jc w:val="both"/>
        <w:rPr>
          <w:bCs/>
          <w:sz w:val="32"/>
          <w:szCs w:val="32"/>
        </w:rPr>
      </w:pPr>
    </w:p>
    <w:p w:rsidR="003F360C" w:rsidRPr="00BE58AA" w:rsidRDefault="00B55DF9" w:rsidP="00BB286C">
      <w:pPr>
        <w:pStyle w:val="Subheadline"/>
        <w:jc w:val="both"/>
      </w:pPr>
      <w:r w:rsidRPr="00B55DF9">
        <w:rPr>
          <w:bCs/>
          <w:sz w:val="32"/>
          <w:szCs w:val="32"/>
        </w:rPr>
        <w:t>Trzyna</w:t>
      </w:r>
      <w:r w:rsidR="003F4DCC">
        <w:rPr>
          <w:bCs/>
          <w:sz w:val="32"/>
          <w:szCs w:val="32"/>
        </w:rPr>
        <w:t>stu</w:t>
      </w:r>
      <w:r>
        <w:rPr>
          <w:bCs/>
          <w:sz w:val="32"/>
          <w:szCs w:val="32"/>
        </w:rPr>
        <w:t xml:space="preserve"> </w:t>
      </w:r>
      <w:r w:rsidR="00BB286C">
        <w:rPr>
          <w:bCs/>
          <w:sz w:val="32"/>
          <w:szCs w:val="32"/>
        </w:rPr>
        <w:t>partnerów okrągłego stołu łańcucha rolno-spożywczego dot. ochrony roślin we wspólnym liście odpowiada na cele strategii od pola do stołu dotyczące środków ochrony roślin</w:t>
      </w:r>
      <w:r w:rsidR="00BB286C">
        <w:t xml:space="preserve">  </w:t>
      </w:r>
    </w:p>
    <w:p w:rsidR="00BE58AA" w:rsidRPr="00C07077" w:rsidRDefault="00BE58AA" w:rsidP="00BE58AA"/>
    <w:p w:rsidR="00BB286C" w:rsidRPr="000709FC" w:rsidRDefault="00BB286C" w:rsidP="00BB286C">
      <w:pPr>
        <w:spacing w:after="100" w:afterAutospacing="1" w:line="276" w:lineRule="auto"/>
        <w:jc w:val="both"/>
        <w:rPr>
          <w:b/>
          <w:bCs/>
        </w:rPr>
      </w:pPr>
      <w:r>
        <w:rPr>
          <w:b/>
          <w:bCs/>
        </w:rPr>
        <w:t>20 maja miała miejsce rocznica strategii od pola do stołu. W związku z tym w dniu dzisiejszym niektórzy członkowie okrągłego stołu łańcucha rolno-spożywczego dot. ochrony roślin opublikowali wspólnie podpisany otwarty list odnośnie wagi przeprowadzenia kompleksowej oceny, przed podjęciem jakiejkolwiek decyzji dotyczącej ograniczenia stosowania pestycydów, uwzględniając cel redukcji substancji chemicznych o 50% wyznaczony w strategii od pola do stołu.</w:t>
      </w:r>
    </w:p>
    <w:p w:rsidR="00BB286C" w:rsidRPr="000709FC" w:rsidRDefault="00BB286C" w:rsidP="00BB286C">
      <w:pPr>
        <w:spacing w:after="100" w:afterAutospacing="1" w:line="276" w:lineRule="auto"/>
        <w:jc w:val="both"/>
      </w:pPr>
      <w:r>
        <w:t>W Europie w ciągu ostatnich 50 lat znacząco spadło użycie pestycydów i ryzyko z tym związane. Dzięki innowacjom w rolnictwie obniżył się średni poziom stosowania substancji aktywnych na hektar. Jeśli chodzi o herbicydy redukcja wyniosła 97%</w:t>
      </w:r>
      <w:r w:rsidRPr="000709FC">
        <w:rPr>
          <w:rStyle w:val="Odwoanieprzypisudolnego"/>
          <w:rFonts w:cs="Calibri"/>
          <w:lang w:val="en-GB"/>
        </w:rPr>
        <w:footnoteReference w:id="1"/>
      </w:r>
      <w:r>
        <w:t>. Ostatecznie, przez ostatnie 60 lat, ograniczono średni poziom użycia nowo wprowadzonych substancji aktywnych</w:t>
      </w:r>
      <w:r w:rsidRPr="000709FC">
        <w:rPr>
          <w:rStyle w:val="Odwoanieprzypisudolnego"/>
          <w:rFonts w:cs="Calibri"/>
          <w:lang w:val="en-GB"/>
        </w:rPr>
        <w:footnoteReference w:id="2"/>
      </w:r>
      <w:r>
        <w:t xml:space="preserve">. Odnośnie </w:t>
      </w:r>
      <w:r>
        <w:lastRenderedPageBreak/>
        <w:t>ochrony upraw roślin, obecnie na rynku dostępnych jest mniej niż 470 substancji aktywnych (w tym 29 substancji aktywnych niskiego ryzyka oraz 23 substancje podstawowe</w:t>
      </w:r>
      <w:r w:rsidRPr="000709FC">
        <w:rPr>
          <w:rStyle w:val="Odwoanieprzypisudolnego"/>
          <w:rFonts w:cs="Calibri"/>
          <w:lang w:val="en-GB"/>
        </w:rPr>
        <w:footnoteReference w:id="3"/>
      </w:r>
      <w:r>
        <w:t>).</w:t>
      </w:r>
    </w:p>
    <w:p w:rsidR="00BB286C" w:rsidRPr="000709FC" w:rsidRDefault="00BB286C" w:rsidP="00BB286C">
      <w:pPr>
        <w:spacing w:after="100" w:afterAutospacing="1" w:line="276" w:lineRule="auto"/>
        <w:jc w:val="both"/>
        <w:rPr>
          <w:i/>
          <w:iCs/>
        </w:rPr>
      </w:pPr>
      <w:r>
        <w:t xml:space="preserve">Max </w:t>
      </w:r>
      <w:proofErr w:type="spellStart"/>
      <w:r>
        <w:t>Schulman</w:t>
      </w:r>
      <w:proofErr w:type="spellEnd"/>
      <w:r>
        <w:t>, członek fińskiej organizacji rolniczej (MTK) w Copa i Cogeca i obecny przewodniczący okrągłego stołu stwierdził „</w:t>
      </w:r>
      <w:r>
        <w:rPr>
          <w:i/>
          <w:iCs/>
        </w:rPr>
        <w:t xml:space="preserve">dostrzegamy, że w najbliższej przyszłości pojawią się opcje, które pozwolą  na ograniczenie ilości środków ochrony roślin, takie jak technologie </w:t>
      </w:r>
      <w:proofErr w:type="spellStart"/>
      <w:r>
        <w:rPr>
          <w:i/>
          <w:iCs/>
        </w:rPr>
        <w:t>biokontroli</w:t>
      </w:r>
      <w:proofErr w:type="spellEnd"/>
      <w:r>
        <w:rPr>
          <w:i/>
          <w:iCs/>
        </w:rPr>
        <w:t xml:space="preserve">, systemy płodozmianu, cyfryzacja czy nowe techniki </w:t>
      </w:r>
      <w:proofErr w:type="spellStart"/>
      <w:r>
        <w:rPr>
          <w:i/>
          <w:iCs/>
        </w:rPr>
        <w:t>genomiczne</w:t>
      </w:r>
      <w:proofErr w:type="spellEnd"/>
      <w:r>
        <w:rPr>
          <w:i/>
          <w:iCs/>
        </w:rPr>
        <w:t>. Jednakże wszystkie te możliwości nie są obecnie dostępne w terenie. Polityczny cel strategii od pola do stołu, czyli coraz większa redukcja substancji aktywnych, stanowi wyzwanie dla wszystkich głównych rodzajów produkcji w UE. Przed podjęciem jakiejkolwiek politycznej lub wiążącej decyzji regulacyjnej, istnieje wyraźna potrzeba przeprowadzenia złożonej oceny skumulowanych skutków gospodarczych, społecznych i środowiskowych, jakie niosą ze sobą różne cele wyznaczone dla rolnictwa UE w strategii od pola do stołu i strategii bioróżnorodności”.</w:t>
      </w:r>
    </w:p>
    <w:p w:rsidR="00BB286C" w:rsidRPr="000709FC" w:rsidRDefault="00BB286C" w:rsidP="00BB286C">
      <w:pPr>
        <w:spacing w:after="100" w:afterAutospacing="1" w:line="276" w:lineRule="auto"/>
        <w:jc w:val="both"/>
      </w:pPr>
      <w:r>
        <w:t xml:space="preserve">Sygnatariusze wzywają Komisję, aby uwzględniła realistyczne ramy czasowe przed podjęciem jakiejkolwiek decyzji ustawodawczej czy wprowadzeniem zmian w najbliższej przyszłości. Prowadzenie dialogu nigdy nie było równie ważne jak obecnie, kiedy unijny łańcuch wartości w rolnictwie stara się osiągnąć ambitne cele zielonego ładu. </w:t>
      </w:r>
    </w:p>
    <w:p w:rsidR="00BB286C" w:rsidRPr="00B55DF9" w:rsidRDefault="00BB286C" w:rsidP="00BB286C">
      <w:pPr>
        <w:spacing w:after="100" w:afterAutospacing="1" w:line="276" w:lineRule="auto"/>
        <w:jc w:val="both"/>
        <w:rPr>
          <w:b/>
        </w:rPr>
      </w:pPr>
    </w:p>
    <w:p w:rsidR="00BB286C" w:rsidRPr="00BB286C" w:rsidRDefault="00BB286C" w:rsidP="00BB286C">
      <w:pPr>
        <w:spacing w:after="100" w:afterAutospacing="1" w:line="276" w:lineRule="auto"/>
        <w:jc w:val="both"/>
        <w:rPr>
          <w:b/>
        </w:rPr>
      </w:pPr>
      <w:r>
        <w:rPr>
          <w:b/>
          <w:bCs/>
        </w:rPr>
        <w:t>-KONIEC-</w:t>
      </w:r>
    </w:p>
    <w:p w:rsidR="00BB286C" w:rsidRPr="00B55DF9" w:rsidRDefault="00BB286C" w:rsidP="00BB286C">
      <w:pPr>
        <w:rPr>
          <w:lang w:val="nl-NL"/>
        </w:rPr>
      </w:pPr>
    </w:p>
    <w:p w:rsidR="00BB286C" w:rsidRPr="000709FC" w:rsidRDefault="00BB286C" w:rsidP="00BB286C">
      <w:r>
        <w:t>Zapoznaj się</w:t>
      </w:r>
      <w:r w:rsidR="006425BD">
        <w:t xml:space="preserve"> ze </w:t>
      </w:r>
      <w:hyperlink r:id="rId8" w:history="1">
        <w:r w:rsidR="006425BD" w:rsidRPr="006425BD">
          <w:rPr>
            <w:rStyle w:val="Hipercze"/>
          </w:rPr>
          <w:t>wspólnym listem</w:t>
        </w:r>
      </w:hyperlink>
    </w:p>
    <w:p w:rsidR="003F360C" w:rsidRPr="00B55DF9" w:rsidRDefault="003F360C" w:rsidP="003F360C">
      <w:pPr>
        <w:spacing w:after="120"/>
        <w:ind w:right="-54"/>
        <w:rPr>
          <w:szCs w:val="21"/>
          <w:lang w:val="nl-NL"/>
        </w:rPr>
      </w:pPr>
    </w:p>
    <w:p w:rsidR="003F360C" w:rsidRPr="00BE58AA" w:rsidRDefault="00BB286C" w:rsidP="001632A0">
      <w:pPr>
        <w:spacing w:after="200"/>
        <w:rPr>
          <w:szCs w:val="21"/>
        </w:rPr>
      </w:pPr>
      <w:r>
        <w:t>Tłumaczenie dostępne będzie już niedługo na stronie Copa-Cogeca w językach angielskim, niemieckim, hiszpańskim, francuskim, włoskim i rumuńskim.</w:t>
      </w:r>
    </w:p>
    <w:p w:rsidR="00BB286C" w:rsidRPr="00B55DF9" w:rsidRDefault="00BB286C" w:rsidP="001632A0">
      <w:pPr>
        <w:spacing w:after="200"/>
        <w:rPr>
          <w:szCs w:val="21"/>
          <w:lang w:val="nl-NL"/>
        </w:rPr>
      </w:pPr>
    </w:p>
    <w:tbl>
      <w:tblPr>
        <w:tblpPr w:leftFromText="142" w:rightFromText="142" w:vertAnchor="text" w:horzAnchor="margin" w:tblpX="1" w:tblpY="1"/>
        <w:tblOverlap w:val="never"/>
        <w:tblW w:w="96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4822"/>
      </w:tblGrid>
      <w:tr w:rsidR="003F360C" w:rsidRPr="00BE58AA" w:rsidTr="00A81C67">
        <w:trPr>
          <w:cantSplit/>
          <w:trHeight w:val="137"/>
        </w:trPr>
        <w:tc>
          <w:tcPr>
            <w:tcW w:w="9645" w:type="dxa"/>
            <w:gridSpan w:val="2"/>
            <w:tcBorders>
              <w:top w:val="single" w:sz="2" w:space="0" w:color="auto"/>
            </w:tcBorders>
            <w:shd w:val="clear" w:color="auto" w:fill="auto"/>
            <w:tcMar>
              <w:top w:w="142" w:type="dxa"/>
              <w:bottom w:w="142" w:type="dxa"/>
            </w:tcMar>
            <w:vAlign w:val="bottom"/>
          </w:tcPr>
          <w:p w:rsidR="003F360C" w:rsidRPr="00BE58AA" w:rsidRDefault="003F360C" w:rsidP="004F377E">
            <w:pPr>
              <w:pStyle w:val="Disclaimer"/>
              <w:framePr w:hSpace="0" w:wrap="auto" w:vAnchor="margin" w:hAnchor="text" w:xAlign="left" w:yAlign="inline"/>
              <w:suppressOverlap w:val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Dalszych informacji udziela:</w:t>
            </w:r>
          </w:p>
        </w:tc>
      </w:tr>
      <w:tr w:rsidR="003F360C" w:rsidRPr="00BB286C" w:rsidTr="00A81C67">
        <w:tc>
          <w:tcPr>
            <w:tcW w:w="9645" w:type="dxa"/>
            <w:tcBorders>
              <w:bottom w:val="single" w:sz="2" w:space="0" w:color="auto"/>
            </w:tcBorders>
            <w:shd w:val="clear" w:color="auto" w:fill="auto"/>
            <w:tcMar>
              <w:top w:w="0" w:type="dxa"/>
              <w:bottom w:w="312" w:type="dxa"/>
            </w:tcMar>
            <w:vAlign w:val="bottom"/>
          </w:tcPr>
          <w:p w:rsidR="003F360C" w:rsidRPr="00BE58AA" w:rsidRDefault="00BB286C" w:rsidP="00A81C67">
            <w:pPr>
              <w:rPr>
                <w:szCs w:val="21"/>
              </w:rPr>
            </w:pPr>
            <w:bookmarkStart w:id="1" w:name="Text8"/>
            <w:r>
              <w:rPr>
                <w:b/>
                <w:szCs w:val="21"/>
              </w:rPr>
              <w:t xml:space="preserve">Paula de </w:t>
            </w:r>
            <w:proofErr w:type="spellStart"/>
            <w:r>
              <w:rPr>
                <w:b/>
                <w:szCs w:val="21"/>
              </w:rPr>
              <w:t>Vera</w:t>
            </w:r>
            <w:proofErr w:type="spellEnd"/>
            <w:r>
              <w:rPr>
                <w:b/>
                <w:szCs w:val="21"/>
              </w:rPr>
              <w:br/>
            </w:r>
            <w:bookmarkEnd w:id="1"/>
            <w:r>
              <w:t>Starszy doradca ds. polityk</w:t>
            </w:r>
          </w:p>
          <w:p w:rsidR="003F360C" w:rsidRPr="00BE58AA" w:rsidRDefault="007E24EF" w:rsidP="00A81C67">
            <w:pPr>
              <w:pStyle w:val="Disclaimer"/>
              <w:framePr w:hSpace="0" w:wrap="auto" w:vAnchor="margin" w:hAnchor="text" w:xAlign="left" w:yAlign="inline"/>
              <w:suppressOverlap w:val="0"/>
              <w:rPr>
                <w:color w:val="000000"/>
                <w:sz w:val="21"/>
                <w:szCs w:val="21"/>
              </w:rPr>
            </w:pPr>
            <w:hyperlink r:id="rId9" w:history="1">
              <w:r w:rsidR="009E77F9">
                <w:rPr>
                  <w:rStyle w:val="Hipercze"/>
                  <w:sz w:val="21"/>
                  <w:szCs w:val="21"/>
                </w:rPr>
                <w:t>Paula.deVera@copa-cogeca.eu</w:t>
              </w:r>
            </w:hyperlink>
            <w:r w:rsidR="009E77F9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645" w:type="dxa"/>
            <w:tcBorders>
              <w:bottom w:val="single" w:sz="2" w:space="0" w:color="auto"/>
            </w:tcBorders>
            <w:shd w:val="clear" w:color="auto" w:fill="auto"/>
            <w:tcMar>
              <w:top w:w="0" w:type="dxa"/>
            </w:tcMar>
            <w:vAlign w:val="bottom"/>
          </w:tcPr>
          <w:p w:rsidR="005213E3" w:rsidRPr="00BB286C" w:rsidRDefault="005213E3" w:rsidP="005213E3">
            <w:pPr>
              <w:pStyle w:val="Disclaimer"/>
              <w:framePr w:hSpace="0" w:wrap="auto" w:vAnchor="margin" w:hAnchor="text" w:xAlign="left" w:yAlign="inline"/>
              <w:suppressOverlap w:val="0"/>
              <w:rPr>
                <w:b/>
                <w:color w:val="auto"/>
                <w:sz w:val="21"/>
                <w:szCs w:val="21"/>
              </w:rPr>
            </w:pPr>
            <w:r>
              <w:rPr>
                <w:b/>
                <w:color w:val="auto"/>
                <w:sz w:val="21"/>
                <w:szCs w:val="21"/>
              </w:rPr>
              <w:t xml:space="preserve">Jean-Baptiste </w:t>
            </w:r>
            <w:proofErr w:type="spellStart"/>
            <w:r>
              <w:rPr>
                <w:b/>
                <w:color w:val="auto"/>
                <w:sz w:val="21"/>
                <w:szCs w:val="21"/>
              </w:rPr>
              <w:t>Boucher</w:t>
            </w:r>
            <w:proofErr w:type="spellEnd"/>
          </w:p>
          <w:p w:rsidR="005213E3" w:rsidRPr="00BB286C" w:rsidRDefault="005213E3" w:rsidP="005213E3">
            <w:pPr>
              <w:pStyle w:val="Disclaimer"/>
              <w:framePr w:hSpace="0" w:wrap="auto" w:vAnchor="margin" w:hAnchor="text" w:xAlign="left" w:yAlign="inline"/>
              <w:suppressOverlap w:val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Dyrektor ds. komunikacji</w:t>
            </w:r>
          </w:p>
          <w:p w:rsidR="005213E3" w:rsidRPr="00BB286C" w:rsidRDefault="005213E3" w:rsidP="005213E3">
            <w:pPr>
              <w:pStyle w:val="Disclaimer"/>
              <w:framePr w:hSpace="0" w:wrap="auto" w:vAnchor="margin" w:hAnchor="text" w:xAlign="left" w:yAlign="inline"/>
              <w:suppressOverlap w:val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Tel. kom. + 32 474 840 836</w:t>
            </w:r>
          </w:p>
          <w:p w:rsidR="003F360C" w:rsidRPr="00BB286C" w:rsidRDefault="007E24EF" w:rsidP="005213E3">
            <w:pPr>
              <w:pStyle w:val="Disclaimer"/>
              <w:framePr w:hSpace="0" w:wrap="auto" w:vAnchor="margin" w:hAnchor="text" w:xAlign="left" w:yAlign="inline"/>
              <w:suppressOverlap w:val="0"/>
              <w:rPr>
                <w:color w:val="auto"/>
                <w:sz w:val="21"/>
                <w:szCs w:val="21"/>
              </w:rPr>
            </w:pPr>
            <w:hyperlink r:id="rId10" w:history="1">
              <w:r w:rsidR="009E77F9">
                <w:rPr>
                  <w:rStyle w:val="Hipercze"/>
                  <w:sz w:val="21"/>
                  <w:szCs w:val="21"/>
                </w:rPr>
                <w:t>jean-baptiste.boucher@copa-cogeca.eu</w:t>
              </w:r>
            </w:hyperlink>
            <w:r w:rsidR="009E77F9">
              <w:rPr>
                <w:color w:val="auto"/>
                <w:sz w:val="21"/>
                <w:szCs w:val="21"/>
              </w:rPr>
              <w:t xml:space="preserve"> </w:t>
            </w:r>
          </w:p>
        </w:tc>
      </w:tr>
      <w:tr w:rsidR="003F360C" w:rsidRPr="00BD73D2" w:rsidTr="00A81C67">
        <w:tc>
          <w:tcPr>
            <w:tcW w:w="96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45" w:type="dxa"/>
              <w:bottom w:w="266" w:type="dxa"/>
            </w:tcMar>
          </w:tcPr>
          <w:p w:rsidR="003F360C" w:rsidRPr="00C17CB7" w:rsidRDefault="003F360C" w:rsidP="00A81C67">
            <w:pPr>
              <w:pStyle w:val="DisclaimerStandard"/>
              <w:framePr w:hSpace="0" w:wrap="auto" w:vAnchor="margin" w:hAnchor="text" w:xAlign="left" w:yAlign="inline"/>
              <w:suppressOverlap w:val="0"/>
              <w:rPr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7E24EF">
              <w:fldChar w:fldCharType="begin"/>
            </w:r>
            <w:r w:rsidR="007E24EF">
              <w:instrText xml:space="preserve"> DOCPROPERTY  PWThreadMemo  \* MERGEFORMAT </w:instrText>
            </w:r>
            <w:r w:rsidR="007E24EF">
              <w:fldChar w:fldCharType="separate"/>
            </w:r>
            <w:r w:rsidR="00114F13" w:rsidRPr="00114F13">
              <w:rPr>
                <w:b/>
                <w:sz w:val="24"/>
              </w:rPr>
              <w:t>CDP(21)3595:1</w:t>
            </w:r>
            <w:r w:rsidR="007E24EF">
              <w:rPr>
                <w:b/>
                <w:sz w:val="24"/>
              </w:rPr>
              <w:fldChar w:fldCharType="end"/>
            </w:r>
          </w:p>
        </w:tc>
      </w:tr>
    </w:tbl>
    <w:p w:rsidR="003F360C" w:rsidRDefault="003F360C" w:rsidP="001632A0">
      <w:pPr>
        <w:spacing w:after="200"/>
      </w:pPr>
    </w:p>
    <w:p w:rsidR="003F360C" w:rsidRDefault="003F360C" w:rsidP="001632A0">
      <w:pPr>
        <w:spacing w:after="200"/>
      </w:pPr>
    </w:p>
    <w:p w:rsidR="003F360C" w:rsidRPr="009265DD" w:rsidRDefault="003F360C" w:rsidP="001632A0">
      <w:pPr>
        <w:spacing w:after="200"/>
      </w:pPr>
    </w:p>
    <w:p w:rsidR="003F360C" w:rsidRPr="009265DD" w:rsidRDefault="003F360C" w:rsidP="001632A0">
      <w:pPr>
        <w:spacing w:after="200"/>
      </w:pPr>
    </w:p>
    <w:p w:rsidR="003F360C" w:rsidRPr="009265DD" w:rsidRDefault="003F360C" w:rsidP="001632A0">
      <w:pPr>
        <w:spacing w:after="200"/>
      </w:pPr>
    </w:p>
    <w:p w:rsidR="003F360C" w:rsidRPr="009265DD" w:rsidRDefault="003F360C" w:rsidP="001632A0">
      <w:pPr>
        <w:spacing w:after="200"/>
      </w:pPr>
    </w:p>
    <w:p w:rsidR="00E31A99" w:rsidRPr="009265DD" w:rsidRDefault="00E31A99" w:rsidP="001632A0">
      <w:pPr>
        <w:spacing w:after="200"/>
      </w:pPr>
    </w:p>
    <w:sectPr w:rsidR="00E31A99" w:rsidRPr="009265DD" w:rsidSect="00A02C29">
      <w:footerReference w:type="default" r:id="rId11"/>
      <w:headerReference w:type="first" r:id="rId12"/>
      <w:footerReference w:type="first" r:id="rId13"/>
      <w:pgSz w:w="11906" w:h="16838" w:code="9"/>
      <w:pgMar w:top="1021" w:right="1826" w:bottom="1797" w:left="1134" w:header="573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4EF" w:rsidRDefault="007E24EF">
      <w:r>
        <w:separator/>
      </w:r>
    </w:p>
  </w:endnote>
  <w:endnote w:type="continuationSeparator" w:id="0">
    <w:p w:rsidR="007E24EF" w:rsidRDefault="007E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6E9" w:rsidRDefault="00060CA5">
    <w:pPr>
      <w:pStyle w:val="Page"/>
      <w:framePr w:wrap="around"/>
    </w:pPr>
    <w:r>
      <w:fldChar w:fldCharType="begin"/>
    </w:r>
    <w:r w:rsidR="00C313F4">
      <w:instrText xml:space="preserve"> PAGE  \* Arabic  \* MERGEFORMAT </w:instrText>
    </w:r>
    <w:r>
      <w:fldChar w:fldCharType="separate"/>
    </w:r>
    <w:r w:rsidR="009C708D">
      <w:rPr>
        <w:noProof/>
      </w:rPr>
      <w:t>2</w:t>
    </w:r>
    <w:r>
      <w:fldChar w:fldCharType="end"/>
    </w:r>
  </w:p>
  <w:p w:rsidR="00C976E9" w:rsidRDefault="00C976E9">
    <w:pPr>
      <w:pStyle w:val="NumPage"/>
      <w:framePr w:wrap="around"/>
    </w:pPr>
    <w:r>
      <w:t xml:space="preserve">| </w:t>
    </w:r>
    <w:r w:rsidR="007E24EF">
      <w:fldChar w:fldCharType="begin"/>
    </w:r>
    <w:r w:rsidR="007E24EF">
      <w:instrText xml:space="preserve"> NUMPAGES  \* Arabic  \* MERGEFORMAT </w:instrText>
    </w:r>
    <w:r w:rsidR="007E24EF">
      <w:fldChar w:fldCharType="separate"/>
    </w:r>
    <w:r w:rsidR="009C708D">
      <w:rPr>
        <w:noProof/>
      </w:rPr>
      <w:t>3</w:t>
    </w:r>
    <w:r w:rsidR="007E24EF">
      <w:rPr>
        <w:noProof/>
      </w:rPr>
      <w:fldChar w:fldCharType="end"/>
    </w:r>
  </w:p>
  <w:p w:rsidR="00C976E9" w:rsidRDefault="00C976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76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769"/>
    </w:tblGrid>
    <w:tr w:rsidR="003F360C" w:rsidRPr="00BE58AA" w:rsidTr="00A81C67">
      <w:tc>
        <w:tcPr>
          <w:tcW w:w="7769" w:type="dxa"/>
          <w:shd w:val="clear" w:color="auto" w:fill="auto"/>
        </w:tcPr>
        <w:p w:rsidR="003F360C" w:rsidRPr="00BB286C" w:rsidRDefault="003F360C" w:rsidP="00A81C67">
          <w:pPr>
            <w:pStyle w:val="Stopka"/>
            <w:rPr>
              <w:color w:val="auto"/>
            </w:rPr>
          </w:pPr>
          <w:r>
            <w:rPr>
              <w:b/>
              <w:color w:val="auto"/>
            </w:rPr>
            <w:t>Copa - Cogeca |</w:t>
          </w:r>
          <w:r>
            <w:rPr>
              <w:color w:val="auto"/>
            </w:rPr>
            <w:t xml:space="preserve"> Europejscy Rolnicy Europejskie Spółdzielnie Rolnicze</w:t>
          </w:r>
        </w:p>
        <w:p w:rsidR="003F360C" w:rsidRPr="00BB286C" w:rsidRDefault="003F360C" w:rsidP="00A81C67">
          <w:pPr>
            <w:pStyle w:val="Stopka"/>
            <w:rPr>
              <w:color w:val="auto"/>
            </w:rPr>
          </w:pPr>
          <w:r>
            <w:rPr>
              <w:color w:val="auto"/>
            </w:rPr>
            <w:t xml:space="preserve">61, Rue de Trèves | B - 1040 Bruksela | www.copa-cogeca.eu </w:t>
          </w:r>
        </w:p>
        <w:p w:rsidR="003F360C" w:rsidRPr="00BE58AA" w:rsidRDefault="009265DD" w:rsidP="00A81C67">
          <w:pPr>
            <w:pStyle w:val="Stopka"/>
          </w:pPr>
          <w:r>
            <w:rPr>
              <w:color w:val="auto"/>
            </w:rPr>
            <w:t>Numer rejestru służącego przejrzystości UE | Copa 44856881231-49  | Cogeca 09586631237-74</w:t>
          </w:r>
        </w:p>
      </w:tc>
    </w:tr>
  </w:tbl>
  <w:p w:rsidR="003F360C" w:rsidRPr="00B55DF9" w:rsidRDefault="003F360C" w:rsidP="003F360C">
    <w:pPr>
      <w:pStyle w:val="Stopka"/>
    </w:pPr>
  </w:p>
  <w:p w:rsidR="00C976E9" w:rsidRPr="00B55DF9" w:rsidRDefault="00C976E9" w:rsidP="003F36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4EF" w:rsidRDefault="007E24EF">
      <w:r>
        <w:separator/>
      </w:r>
    </w:p>
  </w:footnote>
  <w:footnote w:type="continuationSeparator" w:id="0">
    <w:p w:rsidR="007E24EF" w:rsidRDefault="007E24EF">
      <w:r>
        <w:continuationSeparator/>
      </w:r>
    </w:p>
  </w:footnote>
  <w:footnote w:id="1">
    <w:p w:rsidR="00BB286C" w:rsidRPr="00BB286C" w:rsidRDefault="00BB286C" w:rsidP="00BB286C">
      <w:pPr>
        <w:pStyle w:val="Tekstprzypisudolnego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EEA, 2018</w:t>
      </w:r>
    </w:p>
  </w:footnote>
  <w:footnote w:id="2">
    <w:p w:rsidR="00BB286C" w:rsidRPr="00BB286C" w:rsidRDefault="00BB286C" w:rsidP="00BB286C">
      <w:pPr>
        <w:pStyle w:val="Tekstprzypisudolnego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Phillips </w:t>
      </w:r>
      <w:proofErr w:type="spellStart"/>
      <w:r>
        <w:rPr>
          <w:sz w:val="16"/>
          <w:szCs w:val="16"/>
        </w:rPr>
        <w:t>McDougall</w:t>
      </w:r>
      <w:proofErr w:type="spellEnd"/>
      <w:r>
        <w:rPr>
          <w:sz w:val="16"/>
          <w:szCs w:val="16"/>
        </w:rPr>
        <w:t>, 2018</w:t>
      </w:r>
    </w:p>
  </w:footnote>
  <w:footnote w:id="3">
    <w:p w:rsidR="00BB286C" w:rsidRPr="00BB286C" w:rsidRDefault="00BB286C" w:rsidP="00BB286C">
      <w:pPr>
        <w:pStyle w:val="Tekstprzypisudolnego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EU </w:t>
      </w:r>
      <w:proofErr w:type="spellStart"/>
      <w:r>
        <w:rPr>
          <w:sz w:val="16"/>
          <w:szCs w:val="16"/>
        </w:rPr>
        <w:t>Pesticides</w:t>
      </w:r>
      <w:proofErr w:type="spellEnd"/>
      <w:r>
        <w:rPr>
          <w:sz w:val="16"/>
          <w:szCs w:val="16"/>
        </w:rPr>
        <w:t xml:space="preserve"> Database, 2021 (</w:t>
      </w:r>
      <w:hyperlink r:id="rId1" w:history="1">
        <w:r>
          <w:rPr>
            <w:rStyle w:val="Hipercze"/>
            <w:sz w:val="16"/>
            <w:szCs w:val="16"/>
          </w:rPr>
          <w:t>https://ec.europa.eu/food/plant/pesticides/eu-pesticides-db_en</w:t>
        </w:r>
      </w:hyperlink>
      <w:r>
        <w:rPr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4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149"/>
    </w:tblGrid>
    <w:tr w:rsidR="001A4643" w:rsidTr="001A4643">
      <w:trPr>
        <w:trHeight w:val="1092"/>
      </w:trPr>
      <w:tc>
        <w:tcPr>
          <w:tcW w:w="9149" w:type="dxa"/>
          <w:shd w:val="clear" w:color="auto" w:fill="auto"/>
        </w:tcPr>
        <w:p w:rsidR="001A4643" w:rsidRPr="00FF12F0" w:rsidRDefault="00A83585" w:rsidP="001A4643">
          <w:pPr>
            <w:tabs>
              <w:tab w:val="right" w:pos="8946"/>
            </w:tabs>
            <w:spacing w:before="120" w:after="100" w:afterAutospacing="1" w:line="240" w:lineRule="auto"/>
            <w:rPr>
              <w:rFonts w:cs="Calibri"/>
              <w:kern w:val="0"/>
              <w:sz w:val="32"/>
              <w:szCs w:val="21"/>
            </w:rPr>
          </w:pPr>
          <w:r>
            <w:rPr>
              <w:rFonts w:cs="Calibri"/>
              <w:noProof/>
              <w:kern w:val="0"/>
              <w:sz w:val="32"/>
              <w:szCs w:val="21"/>
              <w:lang w:eastAsia="pl-PL"/>
            </w:rPr>
            <w:drawing>
              <wp:inline distT="0" distB="0" distL="0" distR="0">
                <wp:extent cx="1424940" cy="534670"/>
                <wp:effectExtent l="19050" t="0" r="381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940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="Calibri"/>
              <w:noProof/>
              <w:kern w:val="0"/>
              <w:sz w:val="32"/>
              <w:szCs w:val="21"/>
              <w:lang w:eastAsia="pl-PL"/>
            </w:rPr>
            <w:drawing>
              <wp:inline distT="0" distB="0" distL="0" distR="0">
                <wp:extent cx="974090" cy="510540"/>
                <wp:effectExtent l="1905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090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="Calibri"/>
              <w:noProof/>
              <w:kern w:val="0"/>
              <w:sz w:val="32"/>
              <w:szCs w:val="21"/>
              <w:lang w:eastAsia="pl-PL"/>
            </w:rPr>
            <w:drawing>
              <wp:inline distT="0" distB="0" distL="0" distR="0">
                <wp:extent cx="997585" cy="997585"/>
                <wp:effectExtent l="1905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7585" cy="997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="Calibri"/>
              <w:noProof/>
              <w:kern w:val="0"/>
              <w:sz w:val="32"/>
              <w:szCs w:val="21"/>
              <w:lang w:eastAsia="pl-PL"/>
            </w:rPr>
            <w:drawing>
              <wp:inline distT="0" distB="0" distL="0" distR="0">
                <wp:extent cx="1294130" cy="427355"/>
                <wp:effectExtent l="19050" t="0" r="127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27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="Calibri"/>
              <w:noProof/>
              <w:kern w:val="0"/>
              <w:sz w:val="32"/>
              <w:szCs w:val="21"/>
              <w:lang w:eastAsia="pl-PL"/>
            </w:rPr>
            <w:drawing>
              <wp:inline distT="0" distB="0" distL="0" distR="0">
                <wp:extent cx="1270635" cy="581660"/>
                <wp:effectExtent l="19050" t="0" r="571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635" cy="581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="Calibri"/>
              <w:noProof/>
              <w:kern w:val="0"/>
              <w:sz w:val="32"/>
              <w:szCs w:val="21"/>
              <w:lang w:eastAsia="pl-PL"/>
            </w:rPr>
            <w:drawing>
              <wp:inline distT="0" distB="0" distL="0" distR="0">
                <wp:extent cx="1187450" cy="379730"/>
                <wp:effectExtent l="1905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379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A4643" w:rsidRPr="00FF12F0">
            <w:rPr>
              <w:rFonts w:cs="Calibri"/>
              <w:kern w:val="0"/>
              <w:sz w:val="32"/>
              <w:szCs w:val="21"/>
            </w:rPr>
            <w:t xml:space="preserve">     </w:t>
          </w:r>
          <w:r>
            <w:rPr>
              <w:rFonts w:cs="Calibri"/>
              <w:noProof/>
              <w:kern w:val="0"/>
              <w:sz w:val="32"/>
              <w:szCs w:val="21"/>
              <w:lang w:eastAsia="pl-PL"/>
            </w:rPr>
            <w:drawing>
              <wp:inline distT="0" distB="0" distL="0" distR="0">
                <wp:extent cx="1294130" cy="570230"/>
                <wp:effectExtent l="19050" t="0" r="127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570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A4643" w:rsidRPr="00FF12F0">
            <w:rPr>
              <w:rFonts w:cs="Calibri"/>
              <w:kern w:val="0"/>
              <w:sz w:val="32"/>
              <w:szCs w:val="21"/>
            </w:rPr>
            <w:t xml:space="preserve"> </w:t>
          </w:r>
          <w:r>
            <w:rPr>
              <w:rFonts w:cs="Calibri"/>
              <w:noProof/>
              <w:kern w:val="0"/>
              <w:sz w:val="32"/>
              <w:szCs w:val="21"/>
              <w:lang w:eastAsia="pl-PL"/>
            </w:rPr>
            <w:drawing>
              <wp:inline distT="0" distB="0" distL="0" distR="0">
                <wp:extent cx="974090" cy="878840"/>
                <wp:effectExtent l="1905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090" cy="878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A4643" w:rsidRPr="00FF12F0" w:rsidRDefault="00A83585" w:rsidP="001A4643">
          <w:pPr>
            <w:tabs>
              <w:tab w:val="right" w:pos="8946"/>
            </w:tabs>
            <w:spacing w:before="120" w:after="100" w:afterAutospacing="1" w:line="240" w:lineRule="auto"/>
            <w:rPr>
              <w:rFonts w:cs="Calibri"/>
              <w:kern w:val="0"/>
              <w:sz w:val="32"/>
              <w:szCs w:val="21"/>
            </w:rPr>
          </w:pPr>
          <w:r>
            <w:rPr>
              <w:rFonts w:cs="Calibri"/>
              <w:noProof/>
              <w:kern w:val="0"/>
              <w:sz w:val="32"/>
              <w:szCs w:val="21"/>
              <w:lang w:eastAsia="pl-PL"/>
            </w:rPr>
            <w:drawing>
              <wp:inline distT="0" distB="0" distL="0" distR="0">
                <wp:extent cx="1306195" cy="510540"/>
                <wp:effectExtent l="19050" t="0" r="825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195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A4643" w:rsidRPr="00FF12F0">
            <w:rPr>
              <w:rFonts w:cs="Calibri"/>
              <w:kern w:val="0"/>
              <w:sz w:val="32"/>
              <w:szCs w:val="21"/>
            </w:rPr>
            <w:t xml:space="preserve">      </w:t>
          </w:r>
          <w:r>
            <w:rPr>
              <w:rFonts w:cs="Calibri"/>
              <w:noProof/>
              <w:kern w:val="0"/>
              <w:sz w:val="32"/>
              <w:szCs w:val="21"/>
              <w:lang w:eastAsia="pl-PL"/>
            </w:rPr>
            <w:drawing>
              <wp:inline distT="0" distB="0" distL="0" distR="0">
                <wp:extent cx="1175385" cy="439420"/>
                <wp:effectExtent l="19050" t="0" r="5715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5385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A4643" w:rsidRPr="00FF12F0">
            <w:rPr>
              <w:rFonts w:cs="Calibri"/>
              <w:kern w:val="0"/>
              <w:sz w:val="32"/>
              <w:szCs w:val="21"/>
            </w:rPr>
            <w:t xml:space="preserve">      </w:t>
          </w:r>
          <w:r>
            <w:rPr>
              <w:rFonts w:cs="Calibri"/>
              <w:noProof/>
              <w:kern w:val="0"/>
              <w:sz w:val="32"/>
              <w:szCs w:val="21"/>
              <w:lang w:eastAsia="pl-PL"/>
            </w:rPr>
            <w:drawing>
              <wp:inline distT="0" distB="0" distL="0" distR="0">
                <wp:extent cx="1080770" cy="570230"/>
                <wp:effectExtent l="19050" t="0" r="508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770" cy="570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A4643" w:rsidRPr="00FF12F0">
            <w:rPr>
              <w:rFonts w:cs="Calibri"/>
              <w:kern w:val="0"/>
              <w:sz w:val="32"/>
              <w:szCs w:val="21"/>
            </w:rPr>
            <w:t xml:space="preserve">      </w:t>
          </w:r>
          <w:r>
            <w:rPr>
              <w:rFonts w:cs="Calibri"/>
              <w:noProof/>
              <w:kern w:val="0"/>
              <w:sz w:val="32"/>
              <w:szCs w:val="21"/>
              <w:lang w:eastAsia="pl-PL"/>
            </w:rPr>
            <w:drawing>
              <wp:inline distT="0" distB="0" distL="0" distR="0">
                <wp:extent cx="1199515" cy="949960"/>
                <wp:effectExtent l="19050" t="0" r="635" b="0"/>
                <wp:docPr id="12" name="Obraz 12" descr="PFP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PFP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9515" cy="949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A4643" w:rsidRPr="00FF12F0" w:rsidRDefault="00A83585" w:rsidP="001A4643">
          <w:pPr>
            <w:tabs>
              <w:tab w:val="right" w:pos="8946"/>
            </w:tabs>
            <w:spacing w:after="100" w:afterAutospacing="1" w:line="276" w:lineRule="auto"/>
            <w:rPr>
              <w:rFonts w:cs="Calibri"/>
              <w:kern w:val="0"/>
              <w:sz w:val="32"/>
              <w:szCs w:val="21"/>
              <w:lang w:eastAsia="en-US"/>
            </w:rPr>
          </w:pPr>
          <w:r>
            <w:rPr>
              <w:rFonts w:cs="Calibri"/>
              <w:noProof/>
              <w:kern w:val="0"/>
              <w:sz w:val="32"/>
              <w:szCs w:val="21"/>
              <w:lang w:eastAsia="pl-PL"/>
            </w:rPr>
            <w:drawing>
              <wp:inline distT="0" distB="0" distL="0" distR="0">
                <wp:extent cx="1412875" cy="356235"/>
                <wp:effectExtent l="1905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875" cy="356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A4643" w:rsidRDefault="001A4643">
          <w:pPr>
            <w:pStyle w:val="Nagwek"/>
          </w:pPr>
        </w:p>
      </w:tc>
    </w:tr>
  </w:tbl>
  <w:p w:rsidR="00C976E9" w:rsidRDefault="00C976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9850DB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5E"/>
    <w:rsid w:val="00010F0A"/>
    <w:rsid w:val="00060CA5"/>
    <w:rsid w:val="000F7C1E"/>
    <w:rsid w:val="00114F13"/>
    <w:rsid w:val="00157971"/>
    <w:rsid w:val="001632A0"/>
    <w:rsid w:val="00174B3E"/>
    <w:rsid w:val="001A032D"/>
    <w:rsid w:val="001A4643"/>
    <w:rsid w:val="001A66B2"/>
    <w:rsid w:val="001E4DD1"/>
    <w:rsid w:val="001E7FF4"/>
    <w:rsid w:val="001F7058"/>
    <w:rsid w:val="00202DAB"/>
    <w:rsid w:val="00206B10"/>
    <w:rsid w:val="002172EE"/>
    <w:rsid w:val="002435CE"/>
    <w:rsid w:val="00260F30"/>
    <w:rsid w:val="00290EC0"/>
    <w:rsid w:val="002C2DEF"/>
    <w:rsid w:val="002F1964"/>
    <w:rsid w:val="002F4F9A"/>
    <w:rsid w:val="00380592"/>
    <w:rsid w:val="0038455A"/>
    <w:rsid w:val="003F360C"/>
    <w:rsid w:val="003F4DCC"/>
    <w:rsid w:val="00463591"/>
    <w:rsid w:val="004F165E"/>
    <w:rsid w:val="004F377E"/>
    <w:rsid w:val="004F478B"/>
    <w:rsid w:val="00514FA6"/>
    <w:rsid w:val="005213E3"/>
    <w:rsid w:val="005F25BD"/>
    <w:rsid w:val="00600232"/>
    <w:rsid w:val="0063545E"/>
    <w:rsid w:val="0063559B"/>
    <w:rsid w:val="006425BD"/>
    <w:rsid w:val="00650B07"/>
    <w:rsid w:val="006E632A"/>
    <w:rsid w:val="006E7B90"/>
    <w:rsid w:val="0071182F"/>
    <w:rsid w:val="0071333D"/>
    <w:rsid w:val="0076642D"/>
    <w:rsid w:val="00767CE9"/>
    <w:rsid w:val="0078746D"/>
    <w:rsid w:val="007B1C27"/>
    <w:rsid w:val="007E24EF"/>
    <w:rsid w:val="007F5534"/>
    <w:rsid w:val="008469FF"/>
    <w:rsid w:val="008D11C0"/>
    <w:rsid w:val="008E5415"/>
    <w:rsid w:val="009265DD"/>
    <w:rsid w:val="009305DE"/>
    <w:rsid w:val="009727D5"/>
    <w:rsid w:val="00974A72"/>
    <w:rsid w:val="009876B8"/>
    <w:rsid w:val="009A2C6A"/>
    <w:rsid w:val="009C708D"/>
    <w:rsid w:val="009E77F9"/>
    <w:rsid w:val="00A02C29"/>
    <w:rsid w:val="00A230C5"/>
    <w:rsid w:val="00A3711E"/>
    <w:rsid w:val="00A83585"/>
    <w:rsid w:val="00AC1890"/>
    <w:rsid w:val="00B10973"/>
    <w:rsid w:val="00B13190"/>
    <w:rsid w:val="00B17375"/>
    <w:rsid w:val="00B347D2"/>
    <w:rsid w:val="00B55DF9"/>
    <w:rsid w:val="00BB286C"/>
    <w:rsid w:val="00BC2B93"/>
    <w:rsid w:val="00BD0CB8"/>
    <w:rsid w:val="00BD73D2"/>
    <w:rsid w:val="00BE58AA"/>
    <w:rsid w:val="00C040B6"/>
    <w:rsid w:val="00C07077"/>
    <w:rsid w:val="00C24A03"/>
    <w:rsid w:val="00C266D7"/>
    <w:rsid w:val="00C313F4"/>
    <w:rsid w:val="00C669D1"/>
    <w:rsid w:val="00C96A22"/>
    <w:rsid w:val="00C976E9"/>
    <w:rsid w:val="00D57169"/>
    <w:rsid w:val="00D96F54"/>
    <w:rsid w:val="00DB2970"/>
    <w:rsid w:val="00DB37E2"/>
    <w:rsid w:val="00DD2AD3"/>
    <w:rsid w:val="00E31A99"/>
    <w:rsid w:val="00E70B43"/>
    <w:rsid w:val="00EC0B35"/>
    <w:rsid w:val="00EF0D52"/>
    <w:rsid w:val="00EF552A"/>
    <w:rsid w:val="00F17DE6"/>
    <w:rsid w:val="00F32FD5"/>
    <w:rsid w:val="00F522CB"/>
    <w:rsid w:val="00F962E0"/>
    <w:rsid w:val="00FA38E0"/>
    <w:rsid w:val="00FC3AA1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E70B43"/>
    <w:pPr>
      <w:spacing w:line="260" w:lineRule="atLeast"/>
    </w:pPr>
    <w:rPr>
      <w:rFonts w:ascii="Georgia" w:hAnsi="Georgia"/>
      <w:kern w:val="4"/>
      <w:sz w:val="21"/>
      <w:szCs w:val="24"/>
      <w:lang w:eastAsia="de-DE"/>
    </w:rPr>
  </w:style>
  <w:style w:type="paragraph" w:styleId="Nagwek1">
    <w:name w:val="heading 1"/>
    <w:basedOn w:val="Normalny"/>
    <w:next w:val="Normalny"/>
    <w:qFormat/>
    <w:rsid w:val="0063559B"/>
    <w:pPr>
      <w:keepNext/>
      <w:keepLines/>
      <w:spacing w:before="240" w:after="240" w:line="240" w:lineRule="auto"/>
      <w:jc w:val="both"/>
      <w:outlineLvl w:val="0"/>
    </w:pPr>
    <w:rPr>
      <w:b/>
      <w:caps/>
      <w:kern w:val="28"/>
      <w:sz w:val="24"/>
      <w:szCs w:val="20"/>
      <w:lang w:eastAsia="en-US"/>
    </w:rPr>
  </w:style>
  <w:style w:type="paragraph" w:styleId="Nagwek2">
    <w:name w:val="heading 2"/>
    <w:basedOn w:val="Nagwek1"/>
    <w:next w:val="Normalny"/>
    <w:qFormat/>
    <w:rsid w:val="0063559B"/>
    <w:pPr>
      <w:ind w:left="720" w:hanging="720"/>
      <w:outlineLvl w:val="1"/>
    </w:pPr>
    <w:rPr>
      <w:i/>
      <w:caps w:val="0"/>
    </w:rPr>
  </w:style>
  <w:style w:type="paragraph" w:styleId="Nagwek3">
    <w:name w:val="heading 3"/>
    <w:basedOn w:val="Nagwek2"/>
    <w:next w:val="Normalny"/>
    <w:qFormat/>
    <w:rsid w:val="0063559B"/>
    <w:pPr>
      <w:ind w:left="1440"/>
      <w:outlineLvl w:val="2"/>
    </w:pPr>
    <w:rPr>
      <w:i w:val="0"/>
      <w:sz w:val="21"/>
    </w:rPr>
  </w:style>
  <w:style w:type="paragraph" w:styleId="Nagwek4">
    <w:name w:val="heading 4"/>
    <w:basedOn w:val="Nagwek3"/>
    <w:next w:val="Normalny"/>
    <w:qFormat/>
    <w:rsid w:val="0071182F"/>
    <w:pPr>
      <w:outlineLvl w:val="3"/>
    </w:pPr>
  </w:style>
  <w:style w:type="paragraph" w:styleId="Nagwek5">
    <w:name w:val="heading 5"/>
    <w:basedOn w:val="Nagwek4"/>
    <w:next w:val="Nagwek4"/>
    <w:qFormat/>
    <w:rsid w:val="0071182F"/>
    <w:pPr>
      <w:outlineLvl w:val="4"/>
    </w:pPr>
  </w:style>
  <w:style w:type="paragraph" w:styleId="Nagwek6">
    <w:name w:val="heading 6"/>
    <w:basedOn w:val="Nagwek5"/>
    <w:next w:val="Normalny"/>
    <w:qFormat/>
    <w:rsid w:val="0071182F"/>
    <w:pPr>
      <w:outlineLvl w:val="5"/>
    </w:pPr>
  </w:style>
  <w:style w:type="paragraph" w:styleId="Nagwek7">
    <w:name w:val="heading 7"/>
    <w:basedOn w:val="Nagwek6"/>
    <w:next w:val="Normalny"/>
    <w:qFormat/>
    <w:rsid w:val="0071182F"/>
    <w:pPr>
      <w:outlineLvl w:val="6"/>
    </w:pPr>
  </w:style>
  <w:style w:type="paragraph" w:styleId="Nagwek8">
    <w:name w:val="heading 8"/>
    <w:basedOn w:val="Nagwek7"/>
    <w:next w:val="Normalny"/>
    <w:qFormat/>
    <w:rsid w:val="0071182F"/>
    <w:pPr>
      <w:outlineLvl w:val="7"/>
    </w:pPr>
  </w:style>
  <w:style w:type="paragraph" w:styleId="Nagwek9">
    <w:name w:val="heading 9"/>
    <w:basedOn w:val="Nagwek8"/>
    <w:next w:val="Normalny"/>
    <w:qFormat/>
    <w:rsid w:val="0071182F"/>
    <w:p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354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3545E"/>
    <w:pPr>
      <w:tabs>
        <w:tab w:val="center" w:pos="4536"/>
        <w:tab w:val="right" w:pos="9072"/>
      </w:tabs>
      <w:spacing w:line="240" w:lineRule="atLeast"/>
    </w:pPr>
    <w:rPr>
      <w:rFonts w:ascii="Tahoma" w:hAnsi="Tahoma"/>
      <w:noProof/>
      <w:color w:val="808080"/>
      <w:sz w:val="16"/>
    </w:rPr>
  </w:style>
  <w:style w:type="table" w:styleId="Tabela-Siatka">
    <w:name w:val="Table Grid"/>
    <w:basedOn w:val="Standardowy"/>
    <w:rsid w:val="0063545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a">
    <w:name w:val="Pagina"/>
    <w:basedOn w:val="Normalny"/>
    <w:rsid w:val="0063545E"/>
    <w:pPr>
      <w:framePr w:w="709" w:h="312" w:hRule="exact" w:hSpace="181" w:wrap="around" w:vAnchor="page" w:hAnchor="page" w:x="10689" w:y="15401" w:anchorLock="1"/>
    </w:pPr>
  </w:style>
  <w:style w:type="paragraph" w:customStyle="1" w:styleId="Page">
    <w:name w:val="Page"/>
    <w:basedOn w:val="Pagina"/>
    <w:rsid w:val="0063545E"/>
    <w:pPr>
      <w:framePr w:wrap="around" w:x="10060"/>
      <w:jc w:val="right"/>
    </w:pPr>
  </w:style>
  <w:style w:type="paragraph" w:customStyle="1" w:styleId="NumPage">
    <w:name w:val="NumPage"/>
    <w:basedOn w:val="Pagina"/>
    <w:rsid w:val="0063545E"/>
    <w:pPr>
      <w:framePr w:wrap="around" w:x="10819"/>
    </w:pPr>
  </w:style>
  <w:style w:type="paragraph" w:customStyle="1" w:styleId="white">
    <w:name w:val="white"/>
    <w:basedOn w:val="Normalny"/>
    <w:rsid w:val="0063545E"/>
    <w:pPr>
      <w:spacing w:line="240" w:lineRule="auto"/>
    </w:pPr>
    <w:rPr>
      <w:color w:val="FFFFFF"/>
      <w:sz w:val="2"/>
      <w:szCs w:val="2"/>
    </w:rPr>
  </w:style>
  <w:style w:type="paragraph" w:styleId="Data">
    <w:name w:val="Date"/>
    <w:basedOn w:val="Normalny"/>
    <w:next w:val="Headline"/>
    <w:link w:val="DataZnak"/>
    <w:rsid w:val="0063545E"/>
    <w:pPr>
      <w:spacing w:line="600" w:lineRule="atLeast"/>
    </w:pPr>
    <w:rPr>
      <w:b/>
      <w:sz w:val="52"/>
    </w:rPr>
  </w:style>
  <w:style w:type="character" w:customStyle="1" w:styleId="DataZnak">
    <w:name w:val="Data Znak"/>
    <w:link w:val="Data"/>
    <w:rsid w:val="0063545E"/>
    <w:rPr>
      <w:rFonts w:ascii="Georgia" w:hAnsi="Georgia"/>
      <w:b/>
      <w:kern w:val="4"/>
      <w:sz w:val="52"/>
      <w:szCs w:val="24"/>
      <w:lang w:eastAsia="de-DE" w:bidi="ar-SA"/>
    </w:rPr>
  </w:style>
  <w:style w:type="paragraph" w:customStyle="1" w:styleId="Headline">
    <w:name w:val="Headline"/>
    <w:basedOn w:val="Normalny"/>
    <w:next w:val="Subheadline"/>
    <w:rsid w:val="0063545E"/>
    <w:pPr>
      <w:spacing w:before="280" w:line="600" w:lineRule="atLeast"/>
    </w:pPr>
    <w:rPr>
      <w:b/>
      <w:sz w:val="52"/>
    </w:rPr>
  </w:style>
  <w:style w:type="paragraph" w:customStyle="1" w:styleId="Subheadline">
    <w:name w:val="Subheadline"/>
    <w:basedOn w:val="Headline"/>
    <w:next w:val="Normalny"/>
    <w:rsid w:val="0063545E"/>
    <w:pPr>
      <w:spacing w:before="189" w:after="246" w:line="360" w:lineRule="atLeast"/>
    </w:pPr>
    <w:rPr>
      <w:sz w:val="24"/>
    </w:rPr>
  </w:style>
  <w:style w:type="paragraph" w:customStyle="1" w:styleId="Disclaimer">
    <w:name w:val="Disclaimer"/>
    <w:basedOn w:val="Normalny"/>
    <w:rsid w:val="0063545E"/>
    <w:pPr>
      <w:framePr w:hSpace="142" w:wrap="around" w:vAnchor="page" w:hAnchor="margin" w:xAlign="right" w:y="11341"/>
      <w:spacing w:line="180" w:lineRule="atLeast"/>
      <w:suppressOverlap/>
    </w:pPr>
    <w:rPr>
      <w:color w:val="808080"/>
      <w:sz w:val="14"/>
      <w:szCs w:val="14"/>
    </w:rPr>
  </w:style>
  <w:style w:type="paragraph" w:customStyle="1" w:styleId="DisclaimerStandard">
    <w:name w:val="Disclaimer_Standard"/>
    <w:basedOn w:val="Disclaimer"/>
    <w:rsid w:val="0063545E"/>
    <w:pPr>
      <w:framePr w:wrap="around"/>
      <w:spacing w:line="260" w:lineRule="atLeast"/>
    </w:pPr>
    <w:rPr>
      <w:sz w:val="19"/>
    </w:rPr>
  </w:style>
  <w:style w:type="paragraph" w:styleId="Tekstdymka">
    <w:name w:val="Balloon Text"/>
    <w:basedOn w:val="Normalny"/>
    <w:rsid w:val="0063545E"/>
    <w:rPr>
      <w:rFonts w:ascii="Tahoma" w:hAnsi="Tahoma" w:cs="Tahoma"/>
      <w:sz w:val="16"/>
      <w:szCs w:val="16"/>
    </w:rPr>
  </w:style>
  <w:style w:type="paragraph" w:customStyle="1" w:styleId="CarChar">
    <w:name w:val="Car Char"/>
    <w:basedOn w:val="Normalny"/>
    <w:rsid w:val="0063545E"/>
    <w:pPr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Hipercze">
    <w:name w:val="Hyperlink"/>
    <w:rsid w:val="002F1964"/>
    <w:rPr>
      <w:color w:val="0000FF"/>
      <w:u w:val="single"/>
    </w:rPr>
  </w:style>
  <w:style w:type="paragraph" w:customStyle="1" w:styleId="Address">
    <w:name w:val="Address"/>
    <w:basedOn w:val="Normalny"/>
    <w:rsid w:val="00B10973"/>
    <w:pPr>
      <w:keepLines/>
      <w:spacing w:after="120" w:line="240" w:lineRule="auto"/>
      <w:ind w:left="5954"/>
      <w:jc w:val="both"/>
    </w:pPr>
    <w:rPr>
      <w:kern w:val="22"/>
      <w:szCs w:val="20"/>
      <w:lang w:eastAsia="en-US"/>
    </w:rPr>
  </w:style>
  <w:style w:type="paragraph" w:customStyle="1" w:styleId="DocumentID">
    <w:name w:val="Document ID"/>
    <w:basedOn w:val="Normalny"/>
    <w:rsid w:val="0071182F"/>
    <w:pPr>
      <w:keepLines/>
      <w:tabs>
        <w:tab w:val="left" w:pos="5103"/>
      </w:tabs>
      <w:spacing w:after="120" w:line="240" w:lineRule="auto"/>
      <w:jc w:val="both"/>
    </w:pPr>
    <w:rPr>
      <w:kern w:val="28"/>
      <w:sz w:val="22"/>
      <w:szCs w:val="20"/>
      <w:lang w:eastAsia="en-US"/>
    </w:rPr>
  </w:style>
  <w:style w:type="paragraph" w:customStyle="1" w:styleId="DoubleSignature">
    <w:name w:val="DoubleSignature"/>
    <w:basedOn w:val="Address"/>
    <w:rsid w:val="0071182F"/>
    <w:pPr>
      <w:tabs>
        <w:tab w:val="left" w:pos="5103"/>
      </w:tabs>
      <w:ind w:left="0"/>
    </w:pPr>
  </w:style>
  <w:style w:type="paragraph" w:customStyle="1" w:styleId="FaxHeader">
    <w:name w:val="Fax Header"/>
    <w:basedOn w:val="Normalny"/>
    <w:next w:val="Normalny"/>
    <w:rsid w:val="0071182F"/>
    <w:pPr>
      <w:keepLines/>
      <w:spacing w:before="120" w:after="120" w:line="240" w:lineRule="auto"/>
      <w:jc w:val="both"/>
    </w:pPr>
    <w:rPr>
      <w:kern w:val="28"/>
      <w:szCs w:val="20"/>
      <w:lang w:eastAsia="en-US"/>
    </w:rPr>
  </w:style>
  <w:style w:type="paragraph" w:customStyle="1" w:styleId="Subject">
    <w:name w:val="Subject"/>
    <w:basedOn w:val="Normalny"/>
    <w:rsid w:val="0071182F"/>
    <w:rPr>
      <w:b/>
    </w:rPr>
  </w:style>
  <w:style w:type="paragraph" w:styleId="Tytu">
    <w:name w:val="Title"/>
    <w:basedOn w:val="Normalny"/>
    <w:qFormat/>
    <w:rsid w:val="0063559B"/>
    <w:pPr>
      <w:keepLines/>
      <w:spacing w:before="240" w:after="240" w:line="240" w:lineRule="auto"/>
      <w:jc w:val="center"/>
    </w:pPr>
    <w:rPr>
      <w:b/>
      <w:caps/>
      <w:kern w:val="28"/>
      <w:sz w:val="32"/>
      <w:szCs w:val="20"/>
      <w:lang w:eastAsia="en-US"/>
    </w:rPr>
  </w:style>
  <w:style w:type="paragraph" w:styleId="Podtytu">
    <w:name w:val="Subtitle"/>
    <w:basedOn w:val="Tytu"/>
    <w:qFormat/>
    <w:rsid w:val="0063559B"/>
    <w:pPr>
      <w:spacing w:before="0"/>
    </w:pPr>
    <w:rPr>
      <w:bCs/>
      <w:i/>
      <w:sz w:val="28"/>
    </w:rPr>
  </w:style>
  <w:style w:type="paragraph" w:styleId="Tekstprzypisudolnego">
    <w:name w:val="footnote text"/>
    <w:basedOn w:val="Normalny"/>
    <w:link w:val="TekstprzypisudolnegoZnak"/>
    <w:rsid w:val="00BB286C"/>
    <w:pPr>
      <w:spacing w:line="240" w:lineRule="auto"/>
    </w:pPr>
    <w:rPr>
      <w:rFonts w:ascii="Calibri" w:hAnsi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rsid w:val="00BB286C"/>
    <w:rPr>
      <w:rFonts w:ascii="Calibri" w:hAnsi="Calibri"/>
      <w:lang w:val="pl-PL" w:eastAsia="en-US"/>
    </w:rPr>
  </w:style>
  <w:style w:type="character" w:styleId="Odwoanieprzypisudolnego">
    <w:name w:val="footnote reference"/>
    <w:rsid w:val="00BB286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E70B43"/>
    <w:pPr>
      <w:spacing w:line="260" w:lineRule="atLeast"/>
    </w:pPr>
    <w:rPr>
      <w:rFonts w:ascii="Georgia" w:hAnsi="Georgia"/>
      <w:kern w:val="4"/>
      <w:sz w:val="21"/>
      <w:szCs w:val="24"/>
      <w:lang w:eastAsia="de-DE"/>
    </w:rPr>
  </w:style>
  <w:style w:type="paragraph" w:styleId="Nagwek1">
    <w:name w:val="heading 1"/>
    <w:basedOn w:val="Normalny"/>
    <w:next w:val="Normalny"/>
    <w:qFormat/>
    <w:rsid w:val="0063559B"/>
    <w:pPr>
      <w:keepNext/>
      <w:keepLines/>
      <w:spacing w:before="240" w:after="240" w:line="240" w:lineRule="auto"/>
      <w:jc w:val="both"/>
      <w:outlineLvl w:val="0"/>
    </w:pPr>
    <w:rPr>
      <w:b/>
      <w:caps/>
      <w:kern w:val="28"/>
      <w:sz w:val="24"/>
      <w:szCs w:val="20"/>
      <w:lang w:eastAsia="en-US"/>
    </w:rPr>
  </w:style>
  <w:style w:type="paragraph" w:styleId="Nagwek2">
    <w:name w:val="heading 2"/>
    <w:basedOn w:val="Nagwek1"/>
    <w:next w:val="Normalny"/>
    <w:qFormat/>
    <w:rsid w:val="0063559B"/>
    <w:pPr>
      <w:ind w:left="720" w:hanging="720"/>
      <w:outlineLvl w:val="1"/>
    </w:pPr>
    <w:rPr>
      <w:i/>
      <w:caps w:val="0"/>
    </w:rPr>
  </w:style>
  <w:style w:type="paragraph" w:styleId="Nagwek3">
    <w:name w:val="heading 3"/>
    <w:basedOn w:val="Nagwek2"/>
    <w:next w:val="Normalny"/>
    <w:qFormat/>
    <w:rsid w:val="0063559B"/>
    <w:pPr>
      <w:ind w:left="1440"/>
      <w:outlineLvl w:val="2"/>
    </w:pPr>
    <w:rPr>
      <w:i w:val="0"/>
      <w:sz w:val="21"/>
    </w:rPr>
  </w:style>
  <w:style w:type="paragraph" w:styleId="Nagwek4">
    <w:name w:val="heading 4"/>
    <w:basedOn w:val="Nagwek3"/>
    <w:next w:val="Normalny"/>
    <w:qFormat/>
    <w:rsid w:val="0071182F"/>
    <w:pPr>
      <w:outlineLvl w:val="3"/>
    </w:pPr>
  </w:style>
  <w:style w:type="paragraph" w:styleId="Nagwek5">
    <w:name w:val="heading 5"/>
    <w:basedOn w:val="Nagwek4"/>
    <w:next w:val="Nagwek4"/>
    <w:qFormat/>
    <w:rsid w:val="0071182F"/>
    <w:pPr>
      <w:outlineLvl w:val="4"/>
    </w:pPr>
  </w:style>
  <w:style w:type="paragraph" w:styleId="Nagwek6">
    <w:name w:val="heading 6"/>
    <w:basedOn w:val="Nagwek5"/>
    <w:next w:val="Normalny"/>
    <w:qFormat/>
    <w:rsid w:val="0071182F"/>
    <w:pPr>
      <w:outlineLvl w:val="5"/>
    </w:pPr>
  </w:style>
  <w:style w:type="paragraph" w:styleId="Nagwek7">
    <w:name w:val="heading 7"/>
    <w:basedOn w:val="Nagwek6"/>
    <w:next w:val="Normalny"/>
    <w:qFormat/>
    <w:rsid w:val="0071182F"/>
    <w:pPr>
      <w:outlineLvl w:val="6"/>
    </w:pPr>
  </w:style>
  <w:style w:type="paragraph" w:styleId="Nagwek8">
    <w:name w:val="heading 8"/>
    <w:basedOn w:val="Nagwek7"/>
    <w:next w:val="Normalny"/>
    <w:qFormat/>
    <w:rsid w:val="0071182F"/>
    <w:pPr>
      <w:outlineLvl w:val="7"/>
    </w:pPr>
  </w:style>
  <w:style w:type="paragraph" w:styleId="Nagwek9">
    <w:name w:val="heading 9"/>
    <w:basedOn w:val="Nagwek8"/>
    <w:next w:val="Normalny"/>
    <w:qFormat/>
    <w:rsid w:val="0071182F"/>
    <w:p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354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3545E"/>
    <w:pPr>
      <w:tabs>
        <w:tab w:val="center" w:pos="4536"/>
        <w:tab w:val="right" w:pos="9072"/>
      </w:tabs>
      <w:spacing w:line="240" w:lineRule="atLeast"/>
    </w:pPr>
    <w:rPr>
      <w:rFonts w:ascii="Tahoma" w:hAnsi="Tahoma"/>
      <w:noProof/>
      <w:color w:val="808080"/>
      <w:sz w:val="16"/>
    </w:rPr>
  </w:style>
  <w:style w:type="table" w:styleId="Tabela-Siatka">
    <w:name w:val="Table Grid"/>
    <w:basedOn w:val="Standardowy"/>
    <w:rsid w:val="0063545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a">
    <w:name w:val="Pagina"/>
    <w:basedOn w:val="Normalny"/>
    <w:rsid w:val="0063545E"/>
    <w:pPr>
      <w:framePr w:w="709" w:h="312" w:hRule="exact" w:hSpace="181" w:wrap="around" w:vAnchor="page" w:hAnchor="page" w:x="10689" w:y="15401" w:anchorLock="1"/>
    </w:pPr>
  </w:style>
  <w:style w:type="paragraph" w:customStyle="1" w:styleId="Page">
    <w:name w:val="Page"/>
    <w:basedOn w:val="Pagina"/>
    <w:rsid w:val="0063545E"/>
    <w:pPr>
      <w:framePr w:wrap="around" w:x="10060"/>
      <w:jc w:val="right"/>
    </w:pPr>
  </w:style>
  <w:style w:type="paragraph" w:customStyle="1" w:styleId="NumPage">
    <w:name w:val="NumPage"/>
    <w:basedOn w:val="Pagina"/>
    <w:rsid w:val="0063545E"/>
    <w:pPr>
      <w:framePr w:wrap="around" w:x="10819"/>
    </w:pPr>
  </w:style>
  <w:style w:type="paragraph" w:customStyle="1" w:styleId="white">
    <w:name w:val="white"/>
    <w:basedOn w:val="Normalny"/>
    <w:rsid w:val="0063545E"/>
    <w:pPr>
      <w:spacing w:line="240" w:lineRule="auto"/>
    </w:pPr>
    <w:rPr>
      <w:color w:val="FFFFFF"/>
      <w:sz w:val="2"/>
      <w:szCs w:val="2"/>
    </w:rPr>
  </w:style>
  <w:style w:type="paragraph" w:styleId="Data">
    <w:name w:val="Date"/>
    <w:basedOn w:val="Normalny"/>
    <w:next w:val="Headline"/>
    <w:link w:val="DataZnak"/>
    <w:rsid w:val="0063545E"/>
    <w:pPr>
      <w:spacing w:line="600" w:lineRule="atLeast"/>
    </w:pPr>
    <w:rPr>
      <w:b/>
      <w:sz w:val="52"/>
    </w:rPr>
  </w:style>
  <w:style w:type="character" w:customStyle="1" w:styleId="DataZnak">
    <w:name w:val="Data Znak"/>
    <w:link w:val="Data"/>
    <w:rsid w:val="0063545E"/>
    <w:rPr>
      <w:rFonts w:ascii="Georgia" w:hAnsi="Georgia"/>
      <w:b/>
      <w:kern w:val="4"/>
      <w:sz w:val="52"/>
      <w:szCs w:val="24"/>
      <w:lang w:eastAsia="de-DE" w:bidi="ar-SA"/>
    </w:rPr>
  </w:style>
  <w:style w:type="paragraph" w:customStyle="1" w:styleId="Headline">
    <w:name w:val="Headline"/>
    <w:basedOn w:val="Normalny"/>
    <w:next w:val="Subheadline"/>
    <w:rsid w:val="0063545E"/>
    <w:pPr>
      <w:spacing w:before="280" w:line="600" w:lineRule="atLeast"/>
    </w:pPr>
    <w:rPr>
      <w:b/>
      <w:sz w:val="52"/>
    </w:rPr>
  </w:style>
  <w:style w:type="paragraph" w:customStyle="1" w:styleId="Subheadline">
    <w:name w:val="Subheadline"/>
    <w:basedOn w:val="Headline"/>
    <w:next w:val="Normalny"/>
    <w:rsid w:val="0063545E"/>
    <w:pPr>
      <w:spacing w:before="189" w:after="246" w:line="360" w:lineRule="atLeast"/>
    </w:pPr>
    <w:rPr>
      <w:sz w:val="24"/>
    </w:rPr>
  </w:style>
  <w:style w:type="paragraph" w:customStyle="1" w:styleId="Disclaimer">
    <w:name w:val="Disclaimer"/>
    <w:basedOn w:val="Normalny"/>
    <w:rsid w:val="0063545E"/>
    <w:pPr>
      <w:framePr w:hSpace="142" w:wrap="around" w:vAnchor="page" w:hAnchor="margin" w:xAlign="right" w:y="11341"/>
      <w:spacing w:line="180" w:lineRule="atLeast"/>
      <w:suppressOverlap/>
    </w:pPr>
    <w:rPr>
      <w:color w:val="808080"/>
      <w:sz w:val="14"/>
      <w:szCs w:val="14"/>
    </w:rPr>
  </w:style>
  <w:style w:type="paragraph" w:customStyle="1" w:styleId="DisclaimerStandard">
    <w:name w:val="Disclaimer_Standard"/>
    <w:basedOn w:val="Disclaimer"/>
    <w:rsid w:val="0063545E"/>
    <w:pPr>
      <w:framePr w:wrap="around"/>
      <w:spacing w:line="260" w:lineRule="atLeast"/>
    </w:pPr>
    <w:rPr>
      <w:sz w:val="19"/>
    </w:rPr>
  </w:style>
  <w:style w:type="paragraph" w:styleId="Tekstdymka">
    <w:name w:val="Balloon Text"/>
    <w:basedOn w:val="Normalny"/>
    <w:rsid w:val="0063545E"/>
    <w:rPr>
      <w:rFonts w:ascii="Tahoma" w:hAnsi="Tahoma" w:cs="Tahoma"/>
      <w:sz w:val="16"/>
      <w:szCs w:val="16"/>
    </w:rPr>
  </w:style>
  <w:style w:type="paragraph" w:customStyle="1" w:styleId="CarChar">
    <w:name w:val="Car Char"/>
    <w:basedOn w:val="Normalny"/>
    <w:rsid w:val="0063545E"/>
    <w:pPr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Hipercze">
    <w:name w:val="Hyperlink"/>
    <w:rsid w:val="002F1964"/>
    <w:rPr>
      <w:color w:val="0000FF"/>
      <w:u w:val="single"/>
    </w:rPr>
  </w:style>
  <w:style w:type="paragraph" w:customStyle="1" w:styleId="Address">
    <w:name w:val="Address"/>
    <w:basedOn w:val="Normalny"/>
    <w:rsid w:val="00B10973"/>
    <w:pPr>
      <w:keepLines/>
      <w:spacing w:after="120" w:line="240" w:lineRule="auto"/>
      <w:ind w:left="5954"/>
      <w:jc w:val="both"/>
    </w:pPr>
    <w:rPr>
      <w:kern w:val="22"/>
      <w:szCs w:val="20"/>
      <w:lang w:eastAsia="en-US"/>
    </w:rPr>
  </w:style>
  <w:style w:type="paragraph" w:customStyle="1" w:styleId="DocumentID">
    <w:name w:val="Document ID"/>
    <w:basedOn w:val="Normalny"/>
    <w:rsid w:val="0071182F"/>
    <w:pPr>
      <w:keepLines/>
      <w:tabs>
        <w:tab w:val="left" w:pos="5103"/>
      </w:tabs>
      <w:spacing w:after="120" w:line="240" w:lineRule="auto"/>
      <w:jc w:val="both"/>
    </w:pPr>
    <w:rPr>
      <w:kern w:val="28"/>
      <w:sz w:val="22"/>
      <w:szCs w:val="20"/>
      <w:lang w:eastAsia="en-US"/>
    </w:rPr>
  </w:style>
  <w:style w:type="paragraph" w:customStyle="1" w:styleId="DoubleSignature">
    <w:name w:val="DoubleSignature"/>
    <w:basedOn w:val="Address"/>
    <w:rsid w:val="0071182F"/>
    <w:pPr>
      <w:tabs>
        <w:tab w:val="left" w:pos="5103"/>
      </w:tabs>
      <w:ind w:left="0"/>
    </w:pPr>
  </w:style>
  <w:style w:type="paragraph" w:customStyle="1" w:styleId="FaxHeader">
    <w:name w:val="Fax Header"/>
    <w:basedOn w:val="Normalny"/>
    <w:next w:val="Normalny"/>
    <w:rsid w:val="0071182F"/>
    <w:pPr>
      <w:keepLines/>
      <w:spacing w:before="120" w:after="120" w:line="240" w:lineRule="auto"/>
      <w:jc w:val="both"/>
    </w:pPr>
    <w:rPr>
      <w:kern w:val="28"/>
      <w:szCs w:val="20"/>
      <w:lang w:eastAsia="en-US"/>
    </w:rPr>
  </w:style>
  <w:style w:type="paragraph" w:customStyle="1" w:styleId="Subject">
    <w:name w:val="Subject"/>
    <w:basedOn w:val="Normalny"/>
    <w:rsid w:val="0071182F"/>
    <w:rPr>
      <w:b/>
    </w:rPr>
  </w:style>
  <w:style w:type="paragraph" w:styleId="Tytu">
    <w:name w:val="Title"/>
    <w:basedOn w:val="Normalny"/>
    <w:qFormat/>
    <w:rsid w:val="0063559B"/>
    <w:pPr>
      <w:keepLines/>
      <w:spacing w:before="240" w:after="240" w:line="240" w:lineRule="auto"/>
      <w:jc w:val="center"/>
    </w:pPr>
    <w:rPr>
      <w:b/>
      <w:caps/>
      <w:kern w:val="28"/>
      <w:sz w:val="32"/>
      <w:szCs w:val="20"/>
      <w:lang w:eastAsia="en-US"/>
    </w:rPr>
  </w:style>
  <w:style w:type="paragraph" w:styleId="Podtytu">
    <w:name w:val="Subtitle"/>
    <w:basedOn w:val="Tytu"/>
    <w:qFormat/>
    <w:rsid w:val="0063559B"/>
    <w:pPr>
      <w:spacing w:before="0"/>
    </w:pPr>
    <w:rPr>
      <w:bCs/>
      <w:i/>
      <w:sz w:val="28"/>
    </w:rPr>
  </w:style>
  <w:style w:type="paragraph" w:styleId="Tekstprzypisudolnego">
    <w:name w:val="footnote text"/>
    <w:basedOn w:val="Normalny"/>
    <w:link w:val="TekstprzypisudolnegoZnak"/>
    <w:rsid w:val="00BB286C"/>
    <w:pPr>
      <w:spacing w:line="240" w:lineRule="auto"/>
    </w:pPr>
    <w:rPr>
      <w:rFonts w:ascii="Calibri" w:hAnsi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rsid w:val="00BB286C"/>
    <w:rPr>
      <w:rFonts w:ascii="Calibri" w:hAnsi="Calibri"/>
      <w:lang w:val="pl-PL" w:eastAsia="en-US"/>
    </w:rPr>
  </w:style>
  <w:style w:type="character" w:styleId="Odwoanieprzypisudolnego">
    <w:name w:val="footnote reference"/>
    <w:rsid w:val="00BB286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transfer.com/downloads/9d0721b64de1a377b837fc0833e92dfd20210531080652/44be96cf5b1943b52c37bc2a20f07c5820210531080728/6d7ac1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ean-baptiste.boucher@copa-cogeca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ula.DeVera@copa-cogeca.eu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food/plant/pesticides/eu-pesticides-db_en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Press release</vt:lpstr>
    </vt:vector>
  </TitlesOfParts>
  <Company>Copa-Cogeca - European Farmers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*</dc:creator>
  <dc:description>Template press release;
Version 001;
2008-09-09;</dc:description>
  <cp:lastModifiedBy>Kasia</cp:lastModifiedBy>
  <cp:revision>2</cp:revision>
  <cp:lastPrinted>2021-05-31T08:46:00Z</cp:lastPrinted>
  <dcterms:created xsi:type="dcterms:W3CDTF">2021-06-01T09:29:00Z</dcterms:created>
  <dcterms:modified xsi:type="dcterms:W3CDTF">2021-06-01T09:29:00Z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WThreadMemo">
    <vt:lpwstr>CDP(21)3595:1</vt:lpwstr>
  </property>
</Properties>
</file>